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3B52" w:rsidRPr="00580A8D" w:rsidRDefault="00D73B52" w:rsidP="0053027D">
      <w:pPr>
        <w:shd w:val="clear" w:color="auto" w:fill="FFFFFF"/>
        <w:spacing w:after="150" w:line="240" w:lineRule="auto"/>
        <w:jc w:val="both"/>
        <w:rPr>
          <w:rFonts w:ascii="Times New Roman" w:eastAsia="Times New Roman" w:hAnsi="Times New Roman" w:cs="Times New Roman"/>
          <w:sz w:val="24"/>
          <w:szCs w:val="24"/>
          <w:lang w:eastAsia="tr-TR"/>
        </w:rPr>
      </w:pPr>
      <w:bookmarkStart w:id="0" w:name="_GoBack"/>
      <w:bookmarkEnd w:id="0"/>
    </w:p>
    <w:p w:rsidR="00502EBB" w:rsidRPr="00502EBB" w:rsidRDefault="00502EBB" w:rsidP="00502EBB">
      <w:pPr>
        <w:jc w:val="center"/>
        <w:rPr>
          <w:rFonts w:ascii="Times New Roman" w:hAnsi="Times New Roman" w:cs="Times New Roman"/>
          <w:sz w:val="28"/>
          <w:szCs w:val="28"/>
        </w:rPr>
      </w:pPr>
      <w:r>
        <w:rPr>
          <w:rStyle w:val="FontStyle11"/>
          <w:sz w:val="28"/>
          <w:szCs w:val="28"/>
          <w:u w:val="single"/>
        </w:rPr>
        <w:t>DUYURU: 16.01.2019/5</w:t>
      </w:r>
    </w:p>
    <w:p w:rsidR="00502EBB" w:rsidRDefault="00502EBB" w:rsidP="00502EBB">
      <w:pPr>
        <w:pStyle w:val="ortabalkbold"/>
        <w:spacing w:before="0" w:beforeAutospacing="0" w:after="0" w:afterAutospacing="0" w:line="240" w:lineRule="atLeast"/>
        <w:jc w:val="both"/>
        <w:rPr>
          <w:b/>
          <w:bCs/>
          <w:sz w:val="22"/>
          <w:szCs w:val="22"/>
        </w:rPr>
      </w:pPr>
    </w:p>
    <w:p w:rsidR="00502EBB" w:rsidRDefault="00502EBB" w:rsidP="00502EBB">
      <w:pPr>
        <w:pStyle w:val="ortabalkbold"/>
        <w:spacing w:before="0" w:beforeAutospacing="0" w:after="0" w:afterAutospacing="0" w:line="240" w:lineRule="atLeast"/>
        <w:ind w:firstLine="708"/>
        <w:jc w:val="both"/>
        <w:rPr>
          <w:sz w:val="22"/>
          <w:szCs w:val="22"/>
          <w:shd w:val="clear" w:color="auto" w:fill="FFFFFF"/>
        </w:rPr>
      </w:pPr>
      <w:r>
        <w:rPr>
          <w:sz w:val="22"/>
          <w:szCs w:val="22"/>
          <w:shd w:val="clear" w:color="auto" w:fill="FFFFFF"/>
        </w:rPr>
        <w:t xml:space="preserve">06.04.2018 tarihinde 30383 sayılı Resmi Gazete ’de yayınlanarak yürürlüğe giren Katma Değer Vergisi Kanununda değişiklikler yapan 7104 sayılı kanunla oldukça önemli değişiklikler yapılmıştı. Duyurumuzda </w:t>
      </w:r>
      <w:r>
        <w:rPr>
          <w:b/>
          <w:bCs/>
          <w:sz w:val="22"/>
          <w:szCs w:val="22"/>
          <w:shd w:val="clear" w:color="auto" w:fill="FFFFFF"/>
        </w:rPr>
        <w:t>01.01.2019</w:t>
      </w:r>
      <w:r>
        <w:rPr>
          <w:sz w:val="22"/>
          <w:szCs w:val="22"/>
          <w:shd w:val="clear" w:color="auto" w:fill="FFFFFF"/>
        </w:rPr>
        <w:t xml:space="preserve"> tarihiyle yürürlüğe giren maddelere yer verilmiştir.</w:t>
      </w:r>
    </w:p>
    <w:p w:rsidR="00502EBB" w:rsidRPr="00502EBB" w:rsidRDefault="00502EBB" w:rsidP="00502EBB">
      <w:pPr>
        <w:pStyle w:val="ortabalkbold"/>
        <w:spacing w:before="0" w:beforeAutospacing="0" w:after="0" w:afterAutospacing="0" w:line="240" w:lineRule="atLeast"/>
        <w:ind w:firstLine="708"/>
        <w:jc w:val="both"/>
        <w:rPr>
          <w:sz w:val="22"/>
          <w:szCs w:val="22"/>
          <w:shd w:val="clear" w:color="auto" w:fill="FFFFFF"/>
        </w:rPr>
      </w:pPr>
    </w:p>
    <w:p w:rsidR="00502EBB" w:rsidRDefault="00502EBB" w:rsidP="00502EBB">
      <w:pPr>
        <w:spacing w:after="225"/>
        <w:textAlignment w:val="baseline"/>
        <w:rPr>
          <w:rFonts w:ascii="Times New Roman" w:hAnsi="Times New Roman" w:cs="Times New Roman"/>
          <w:b/>
          <w:bCs/>
          <w:lang w:eastAsia="tr-TR"/>
        </w:rPr>
      </w:pPr>
      <w:r>
        <w:rPr>
          <w:rFonts w:ascii="Times New Roman" w:hAnsi="Times New Roman" w:cs="Times New Roman"/>
          <w:b/>
          <w:bCs/>
          <w:lang w:eastAsia="tr-TR"/>
        </w:rPr>
        <w:t>1. KDV İndirimine İlişkin Yeni Düzenlemeler</w:t>
      </w:r>
    </w:p>
    <w:p w:rsidR="00502EBB" w:rsidRDefault="00502EBB" w:rsidP="00502EBB">
      <w:pPr>
        <w:spacing w:after="225"/>
        <w:jc w:val="both"/>
        <w:textAlignment w:val="baseline"/>
        <w:rPr>
          <w:rFonts w:ascii="Times New Roman" w:hAnsi="Times New Roman" w:cs="Times New Roman"/>
          <w:u w:val="single"/>
          <w:lang w:eastAsia="tr-TR"/>
        </w:rPr>
      </w:pPr>
      <w:r>
        <w:rPr>
          <w:rFonts w:ascii="Times New Roman" w:hAnsi="Times New Roman" w:cs="Times New Roman"/>
          <w:u w:val="single"/>
          <w:lang w:eastAsia="tr-TR"/>
        </w:rPr>
        <w:t>a) KDV indiriminde takvim yılı sınırı takip eden takvim yılı sonuna kadar uzatılmıştır.</w:t>
      </w:r>
    </w:p>
    <w:p w:rsidR="00502EBB" w:rsidRDefault="00502EBB" w:rsidP="00502EBB">
      <w:pPr>
        <w:spacing w:after="225"/>
        <w:jc w:val="both"/>
        <w:textAlignment w:val="baseline"/>
        <w:rPr>
          <w:rFonts w:ascii="Times New Roman" w:hAnsi="Times New Roman" w:cs="Times New Roman"/>
          <w:lang w:eastAsia="tr-TR"/>
        </w:rPr>
      </w:pPr>
      <w:r>
        <w:rPr>
          <w:rFonts w:ascii="Times New Roman" w:hAnsi="Times New Roman" w:cs="Times New Roman"/>
          <w:lang w:eastAsia="tr-TR"/>
        </w:rPr>
        <w:t>İndirim hakkının, vergiyi doğuran olayın vuku bulduğu takvim yılını takip eden takvim yılı sonuna kadar kullanılabilmesine imkân sağlanmıştır. Böylelikle, özellikle geç gelen faturalarda olduğu gibi yıl aşımlarında KDV indirimi konusunda ortaya çıkan kayıplar giderilmektedir.</w:t>
      </w:r>
    </w:p>
    <w:p w:rsidR="00502EBB" w:rsidRDefault="00502EBB" w:rsidP="00502EBB">
      <w:pPr>
        <w:spacing w:after="225"/>
        <w:jc w:val="both"/>
        <w:textAlignment w:val="baseline"/>
        <w:rPr>
          <w:rFonts w:ascii="Times New Roman" w:hAnsi="Times New Roman" w:cs="Times New Roman"/>
          <w:u w:val="single"/>
          <w:lang w:eastAsia="tr-TR"/>
        </w:rPr>
      </w:pPr>
      <w:r>
        <w:rPr>
          <w:rFonts w:ascii="Times New Roman" w:hAnsi="Times New Roman" w:cs="Times New Roman"/>
          <w:u w:val="single"/>
          <w:lang w:eastAsia="tr-TR"/>
        </w:rPr>
        <w:t>b) Değersiz hale gelen alacaklara ilişkin hesaplanan ve beyan edilen katma değer vergisinin indirimine imkân sağlanmıştır.</w:t>
      </w:r>
    </w:p>
    <w:p w:rsidR="00502EBB" w:rsidRDefault="00502EBB" w:rsidP="00502EBB">
      <w:pPr>
        <w:spacing w:after="225"/>
        <w:jc w:val="both"/>
        <w:textAlignment w:val="baseline"/>
        <w:rPr>
          <w:rFonts w:ascii="Times New Roman" w:hAnsi="Times New Roman" w:cs="Times New Roman"/>
          <w:lang w:eastAsia="tr-TR"/>
        </w:rPr>
      </w:pPr>
      <w:r>
        <w:rPr>
          <w:rFonts w:ascii="Times New Roman" w:hAnsi="Times New Roman" w:cs="Times New Roman"/>
          <w:lang w:eastAsia="tr-TR"/>
        </w:rPr>
        <w:t xml:space="preserve">7104 sayılı Kanunla 3065 sayılı Kanunun 29’uncu maddesinin dördüncü fıkrasında yapılan değişiklikle, Vergi Usul Kanununun 322’nci maddesine göre değersiz hale gelen alacaklara ilişkin hesaplanan ve beyan edilen KDV’nin, alacağın zarar yazıldığı vergilendirme döneminde indirim konusu yapılabileceği; şu kadar ki Vergi Usul Kanununun 323’üncü maddesine göre karşılık ayrılmak suretiyle gelir veya kurumlar vergisi matrahının tespitinde gider olarak dikkate alınan KDV’nin bu fıkra kapsamında indirim konusu yapılabilmesi için gelir veya kurumlar vergisi matrahının tespitinde gelir olarak dikkate alınmasının şart olduğu hükme bağlanmıştır. Vergi Usul Kanununun 322’nci maddesine göre değersiz hale gelen alacaklara ilişkin </w:t>
      </w:r>
      <w:r>
        <w:rPr>
          <w:rFonts w:ascii="Times New Roman" w:hAnsi="Times New Roman" w:cs="Times New Roman"/>
          <w:u w:val="single"/>
          <w:lang w:eastAsia="tr-TR"/>
        </w:rPr>
        <w:t>alıcı</w:t>
      </w:r>
      <w:r>
        <w:rPr>
          <w:rFonts w:ascii="Times New Roman" w:hAnsi="Times New Roman" w:cs="Times New Roman"/>
          <w:lang w:eastAsia="tr-TR"/>
        </w:rPr>
        <w:t xml:space="preserve"> tarafından ödenmeyen KDV indirim konusu yapılamayacaktır. Değersiz alacağın indirim konusu yapılabilmesi, 1 Ocak 2019 tarihinden itibaren yürürlüğe gireceği için </w:t>
      </w:r>
      <w:r>
        <w:rPr>
          <w:rFonts w:ascii="Times New Roman" w:hAnsi="Times New Roman" w:cs="Times New Roman"/>
          <w:b/>
          <w:bCs/>
          <w:lang w:eastAsia="tr-TR"/>
        </w:rPr>
        <w:t>2018 yılında doğan değersiz alacakların KDV’si indirim konusu yapılamayacak,</w:t>
      </w:r>
      <w:r>
        <w:rPr>
          <w:rFonts w:ascii="Times New Roman" w:hAnsi="Times New Roman" w:cs="Times New Roman"/>
          <w:lang w:eastAsia="tr-TR"/>
        </w:rPr>
        <w:t xml:space="preserve"> gider veya maliyet olarak dikkate alınabilecektir.</w:t>
      </w:r>
    </w:p>
    <w:p w:rsidR="00502EBB" w:rsidRPr="00502EBB" w:rsidRDefault="00502EBB" w:rsidP="00502EBB">
      <w:pPr>
        <w:spacing w:before="75" w:line="330" w:lineRule="atLeast"/>
        <w:textAlignment w:val="baseline"/>
        <w:rPr>
          <w:rFonts w:ascii="Times New Roman" w:hAnsi="Times New Roman" w:cs="Times New Roman"/>
          <w:u w:val="single"/>
          <w:lang w:eastAsia="tr-TR"/>
        </w:rPr>
      </w:pPr>
      <w:r>
        <w:rPr>
          <w:rFonts w:ascii="Times New Roman" w:hAnsi="Times New Roman" w:cs="Times New Roman"/>
          <w:u w:val="single"/>
          <w:lang w:eastAsia="tr-TR"/>
        </w:rPr>
        <w:t>c) Kısmi istisna kapsamında olan bazı teslim ve hizmetler nedeniyle yüklenen KDV’nin indirimine imkân sağlanmıştır.</w:t>
      </w:r>
    </w:p>
    <w:p w:rsidR="00502EBB" w:rsidRDefault="00502EBB" w:rsidP="00502EBB">
      <w:pPr>
        <w:spacing w:after="225"/>
        <w:jc w:val="both"/>
        <w:textAlignment w:val="baseline"/>
        <w:rPr>
          <w:rFonts w:ascii="Times New Roman" w:hAnsi="Times New Roman" w:cs="Times New Roman"/>
          <w:lang w:eastAsia="tr-TR"/>
        </w:rPr>
      </w:pPr>
      <w:r>
        <w:rPr>
          <w:rFonts w:ascii="Times New Roman" w:hAnsi="Times New Roman" w:cs="Times New Roman"/>
          <w:lang w:eastAsia="tr-TR"/>
        </w:rPr>
        <w:t>Aşağıda yer verilen ve kısmi istisna kapsamında olan teslim ve hizmetler nedeniyle yüklenilen katma değer vergisinin indirimine imkan sağlanmıştır.</w:t>
      </w:r>
    </w:p>
    <w:p w:rsidR="00502EBB" w:rsidRDefault="00502EBB" w:rsidP="00502EBB">
      <w:pPr>
        <w:pStyle w:val="ListeParagraf"/>
        <w:numPr>
          <w:ilvl w:val="0"/>
          <w:numId w:val="23"/>
        </w:numPr>
        <w:spacing w:after="225" w:line="240" w:lineRule="auto"/>
        <w:jc w:val="both"/>
        <w:textAlignment w:val="baseline"/>
        <w:rPr>
          <w:rFonts w:ascii="Times New Roman" w:hAnsi="Times New Roman" w:cs="Times New Roman"/>
          <w:lang w:eastAsia="tr-TR"/>
        </w:rPr>
      </w:pPr>
      <w:r>
        <w:rPr>
          <w:rFonts w:ascii="Times New Roman" w:hAnsi="Times New Roman" w:cs="Times New Roman"/>
          <w:lang w:eastAsia="tr-TR"/>
        </w:rPr>
        <w:t>Özel okul, üniversite ve yüksekokullar tarafından verilen bedelsiz eğitim ve öğretim hizmetleri,</w:t>
      </w:r>
    </w:p>
    <w:p w:rsidR="00502EBB" w:rsidRDefault="00502EBB" w:rsidP="00502EBB">
      <w:pPr>
        <w:pStyle w:val="ListeParagraf"/>
        <w:numPr>
          <w:ilvl w:val="0"/>
          <w:numId w:val="23"/>
        </w:numPr>
        <w:spacing w:after="0" w:line="240" w:lineRule="auto"/>
        <w:jc w:val="both"/>
        <w:textAlignment w:val="baseline"/>
        <w:rPr>
          <w:rFonts w:ascii="Times New Roman" w:hAnsi="Times New Roman" w:cs="Times New Roman"/>
          <w:lang w:eastAsia="tr-TR"/>
        </w:rPr>
      </w:pPr>
      <w:r>
        <w:rPr>
          <w:rFonts w:ascii="Times New Roman" w:hAnsi="Times New Roman" w:cs="Times New Roman"/>
          <w:lang w:eastAsia="tr-TR"/>
        </w:rPr>
        <w:t>Öğrenci yurtları tarafından verilen bedelsiz yurt hizmetleri,</w:t>
      </w:r>
    </w:p>
    <w:p w:rsidR="00502EBB" w:rsidRDefault="00502EBB" w:rsidP="00502EBB">
      <w:pPr>
        <w:pStyle w:val="ListeParagraf"/>
        <w:numPr>
          <w:ilvl w:val="0"/>
          <w:numId w:val="23"/>
        </w:numPr>
        <w:spacing w:after="0" w:line="240" w:lineRule="auto"/>
        <w:jc w:val="both"/>
        <w:textAlignment w:val="baseline"/>
        <w:rPr>
          <w:rFonts w:ascii="Times New Roman" w:hAnsi="Times New Roman" w:cs="Times New Roman"/>
          <w:lang w:eastAsia="tr-TR"/>
        </w:rPr>
      </w:pPr>
      <w:r>
        <w:rPr>
          <w:rFonts w:ascii="Times New Roman" w:hAnsi="Times New Roman" w:cs="Times New Roman"/>
          <w:lang w:eastAsia="tr-TR"/>
        </w:rPr>
        <w:t>Kanunların gösterdiği gerek üzerine bedelsiz olarak yapılan mal teslimi ve hizmet ifaları,</w:t>
      </w:r>
    </w:p>
    <w:p w:rsidR="00502EBB" w:rsidRDefault="00502EBB" w:rsidP="00502EBB">
      <w:pPr>
        <w:pStyle w:val="ListeParagraf"/>
        <w:numPr>
          <w:ilvl w:val="0"/>
          <w:numId w:val="23"/>
        </w:numPr>
        <w:spacing w:after="0" w:line="240" w:lineRule="auto"/>
        <w:jc w:val="both"/>
        <w:textAlignment w:val="baseline"/>
        <w:rPr>
          <w:rFonts w:ascii="Times New Roman" w:hAnsi="Times New Roman" w:cs="Times New Roman"/>
          <w:lang w:eastAsia="tr-TR"/>
        </w:rPr>
      </w:pPr>
      <w:r>
        <w:rPr>
          <w:rFonts w:ascii="Times New Roman" w:hAnsi="Times New Roman" w:cs="Times New Roman"/>
          <w:lang w:eastAsia="tr-TR"/>
        </w:rPr>
        <w:t xml:space="preserve">3065 sayılı Kanunun 17 </w:t>
      </w:r>
      <w:proofErr w:type="spellStart"/>
      <w:r>
        <w:rPr>
          <w:rFonts w:ascii="Times New Roman" w:hAnsi="Times New Roman" w:cs="Times New Roman"/>
          <w:lang w:eastAsia="tr-TR"/>
        </w:rPr>
        <w:t>nci</w:t>
      </w:r>
      <w:proofErr w:type="spellEnd"/>
      <w:r>
        <w:rPr>
          <w:rFonts w:ascii="Times New Roman" w:hAnsi="Times New Roman" w:cs="Times New Roman"/>
          <w:lang w:eastAsia="tr-TR"/>
        </w:rPr>
        <w:t xml:space="preserve"> maddesinin (1) numaralı fıkrasında sayılan kurum ve kuruluşlara bedelsiz olarak yapılan her türlü mal teslimi ve hizmet ifaları,</w:t>
      </w:r>
    </w:p>
    <w:p w:rsidR="00502EBB" w:rsidRDefault="00502EBB" w:rsidP="00502EBB">
      <w:pPr>
        <w:pStyle w:val="ListeParagraf"/>
        <w:numPr>
          <w:ilvl w:val="0"/>
          <w:numId w:val="23"/>
        </w:numPr>
        <w:spacing w:after="0" w:line="240" w:lineRule="auto"/>
        <w:jc w:val="both"/>
        <w:textAlignment w:val="baseline"/>
        <w:rPr>
          <w:rFonts w:ascii="Times New Roman" w:hAnsi="Times New Roman" w:cs="Times New Roman"/>
          <w:lang w:eastAsia="tr-TR"/>
        </w:rPr>
      </w:pPr>
      <w:r>
        <w:rPr>
          <w:rFonts w:ascii="Times New Roman" w:hAnsi="Times New Roman" w:cs="Times New Roman"/>
          <w:lang w:eastAsia="tr-TR"/>
        </w:rPr>
        <w:t>Fakirlere yardım amacıyla gıda bankacılığı faaliyetinde bulunan dernek ve vakıflara bağışlanan gıda, temizlik, giyecek ve yakacak maddelerinin teslimi,</w:t>
      </w:r>
    </w:p>
    <w:p w:rsidR="00502EBB" w:rsidRDefault="00502EBB" w:rsidP="00502EBB">
      <w:pPr>
        <w:pStyle w:val="ListeParagraf"/>
        <w:numPr>
          <w:ilvl w:val="0"/>
          <w:numId w:val="23"/>
        </w:numPr>
        <w:spacing w:after="0" w:line="240" w:lineRule="auto"/>
        <w:jc w:val="both"/>
        <w:textAlignment w:val="baseline"/>
        <w:rPr>
          <w:rFonts w:ascii="Times New Roman" w:hAnsi="Times New Roman" w:cs="Times New Roman"/>
          <w:lang w:eastAsia="tr-TR"/>
        </w:rPr>
      </w:pPr>
      <w:r>
        <w:rPr>
          <w:rFonts w:ascii="Times New Roman" w:hAnsi="Times New Roman" w:cs="Times New Roman"/>
          <w:lang w:eastAsia="tr-TR"/>
        </w:rPr>
        <w:t xml:space="preserve">Yabancı devletlerin Türkiye’deki diplomatik temsilcilik ve konsoloslukları ile yabancı hayır ve yardım kurumlarına, 3065 sayılı Kanunun 17 </w:t>
      </w:r>
      <w:proofErr w:type="spellStart"/>
      <w:r>
        <w:rPr>
          <w:rFonts w:ascii="Times New Roman" w:hAnsi="Times New Roman" w:cs="Times New Roman"/>
          <w:lang w:eastAsia="tr-TR"/>
        </w:rPr>
        <w:t>nci</w:t>
      </w:r>
      <w:proofErr w:type="spellEnd"/>
      <w:r>
        <w:rPr>
          <w:rFonts w:ascii="Times New Roman" w:hAnsi="Times New Roman" w:cs="Times New Roman"/>
          <w:lang w:eastAsia="tr-TR"/>
        </w:rPr>
        <w:t xml:space="preserve"> maddesinin (1) numaralı fıkrasında sayılan kurum ve kuruluşlara bedelsiz olarak yapacakları teslim ve hizmetlere ilişkin olarak yapılan teslim ve hizmetler,</w:t>
      </w:r>
    </w:p>
    <w:p w:rsidR="00502EBB" w:rsidRDefault="00502EBB" w:rsidP="00502EBB">
      <w:pPr>
        <w:spacing w:after="0" w:line="240" w:lineRule="auto"/>
        <w:jc w:val="both"/>
        <w:textAlignment w:val="baseline"/>
        <w:rPr>
          <w:rFonts w:ascii="Times New Roman" w:hAnsi="Times New Roman" w:cs="Times New Roman"/>
          <w:lang w:eastAsia="tr-TR"/>
        </w:rPr>
      </w:pPr>
    </w:p>
    <w:p w:rsidR="00502EBB" w:rsidRDefault="00502EBB" w:rsidP="00502EBB">
      <w:pPr>
        <w:spacing w:after="0" w:line="240" w:lineRule="auto"/>
        <w:jc w:val="both"/>
        <w:textAlignment w:val="baseline"/>
        <w:rPr>
          <w:rFonts w:ascii="Times New Roman" w:hAnsi="Times New Roman" w:cs="Times New Roman"/>
          <w:lang w:eastAsia="tr-TR"/>
        </w:rPr>
      </w:pPr>
    </w:p>
    <w:p w:rsidR="00502EBB" w:rsidRPr="00502EBB" w:rsidRDefault="00502EBB" w:rsidP="00502EBB">
      <w:pPr>
        <w:spacing w:after="0" w:line="240" w:lineRule="auto"/>
        <w:jc w:val="both"/>
        <w:textAlignment w:val="baseline"/>
        <w:rPr>
          <w:rFonts w:ascii="Times New Roman" w:hAnsi="Times New Roman" w:cs="Times New Roman"/>
          <w:lang w:eastAsia="tr-TR"/>
        </w:rPr>
      </w:pPr>
    </w:p>
    <w:p w:rsidR="00502EBB" w:rsidRDefault="00502EBB" w:rsidP="00502EBB">
      <w:pPr>
        <w:pStyle w:val="ListeParagraf"/>
        <w:numPr>
          <w:ilvl w:val="0"/>
          <w:numId w:val="23"/>
        </w:numPr>
        <w:spacing w:after="0" w:line="240" w:lineRule="auto"/>
        <w:jc w:val="both"/>
        <w:textAlignment w:val="baseline"/>
        <w:rPr>
          <w:rFonts w:ascii="Times New Roman" w:hAnsi="Times New Roman" w:cs="Times New Roman"/>
          <w:lang w:eastAsia="tr-TR"/>
        </w:rPr>
      </w:pPr>
      <w:r>
        <w:rPr>
          <w:rFonts w:ascii="Times New Roman" w:hAnsi="Times New Roman" w:cs="Times New Roman"/>
          <w:lang w:eastAsia="tr-TR"/>
        </w:rPr>
        <w:t xml:space="preserve">Tescilli taşınmaz kültür varlıklarının </w:t>
      </w:r>
      <w:proofErr w:type="spellStart"/>
      <w:r>
        <w:rPr>
          <w:rFonts w:ascii="Times New Roman" w:hAnsi="Times New Roman" w:cs="Times New Roman"/>
          <w:lang w:eastAsia="tr-TR"/>
        </w:rPr>
        <w:t>rölöve</w:t>
      </w:r>
      <w:proofErr w:type="spellEnd"/>
      <w:r>
        <w:rPr>
          <w:rFonts w:ascii="Times New Roman" w:hAnsi="Times New Roman" w:cs="Times New Roman"/>
          <w:lang w:eastAsia="tr-TR"/>
        </w:rPr>
        <w:t>, restorasyon ve restitüsyon projelerine münhasır olmak üzere, bu projelendirmelerden yararlananlara verilen mimarlık hizmetleri ile projelerin uygulanması kapsamında yapılacak teslimler,</w:t>
      </w:r>
    </w:p>
    <w:p w:rsidR="00502EBB" w:rsidRDefault="00502EBB" w:rsidP="00502EBB">
      <w:pPr>
        <w:pStyle w:val="ListeParagraf"/>
        <w:numPr>
          <w:ilvl w:val="0"/>
          <w:numId w:val="23"/>
        </w:numPr>
        <w:spacing w:after="0" w:line="240" w:lineRule="auto"/>
        <w:jc w:val="both"/>
        <w:textAlignment w:val="baseline"/>
        <w:rPr>
          <w:rFonts w:ascii="Times New Roman" w:hAnsi="Times New Roman" w:cs="Times New Roman"/>
          <w:lang w:eastAsia="tr-TR"/>
        </w:rPr>
      </w:pPr>
      <w:r>
        <w:rPr>
          <w:rFonts w:ascii="Times New Roman" w:hAnsi="Times New Roman" w:cs="Times New Roman"/>
          <w:lang w:eastAsia="tr-TR"/>
        </w:rPr>
        <w:t>Serbest bölgelerde verilen hizmetler ile serbest bölgelere veya bu bölgelerden yapılan ihraç amaçlı yük taşıma işleri.</w:t>
      </w:r>
    </w:p>
    <w:p w:rsidR="00502EBB" w:rsidRDefault="00502EBB" w:rsidP="00502EBB">
      <w:pPr>
        <w:pStyle w:val="ListeParagraf"/>
        <w:numPr>
          <w:ilvl w:val="0"/>
          <w:numId w:val="23"/>
        </w:numPr>
        <w:spacing w:after="0" w:line="240" w:lineRule="auto"/>
        <w:jc w:val="both"/>
        <w:textAlignment w:val="baseline"/>
        <w:rPr>
          <w:rFonts w:ascii="Times New Roman" w:hAnsi="Times New Roman" w:cs="Times New Roman"/>
          <w:lang w:eastAsia="tr-TR"/>
        </w:rPr>
      </w:pPr>
      <w:r>
        <w:rPr>
          <w:rFonts w:ascii="Times New Roman" w:hAnsi="Times New Roman" w:cs="Times New Roman"/>
          <w:lang w:eastAsia="tr-TR"/>
        </w:rPr>
        <w:t>Gümrük antrepoları ve geçici depolama yerleri ile gümrük hizmetlerinin verildiği gümrüklü sahalarda ithalat ve ihracat işlemlerine konu mallar ile transit rejim kapsamında işlem gören mallar için verilen ardiye, depolama ve terminal hizmetleri.</w:t>
      </w:r>
    </w:p>
    <w:p w:rsidR="00502EBB" w:rsidRDefault="00502EBB" w:rsidP="00502EBB">
      <w:pPr>
        <w:jc w:val="both"/>
        <w:textAlignment w:val="baseline"/>
        <w:rPr>
          <w:rFonts w:ascii="Times New Roman" w:hAnsi="Times New Roman" w:cs="Times New Roman"/>
          <w:lang w:eastAsia="tr-TR"/>
        </w:rPr>
      </w:pPr>
    </w:p>
    <w:p w:rsidR="00502EBB" w:rsidRDefault="00502EBB" w:rsidP="00502EBB">
      <w:pPr>
        <w:spacing w:after="120"/>
        <w:textAlignment w:val="baseline"/>
        <w:rPr>
          <w:rFonts w:ascii="Times New Roman" w:hAnsi="Times New Roman" w:cs="Times New Roman"/>
          <w:lang w:eastAsia="tr-TR"/>
        </w:rPr>
      </w:pPr>
      <w:r>
        <w:rPr>
          <w:rFonts w:ascii="Times New Roman" w:hAnsi="Times New Roman" w:cs="Times New Roman"/>
          <w:b/>
          <w:bCs/>
          <w:lang w:eastAsia="tr-TR"/>
        </w:rPr>
        <w:t>2. İstisna Edilmiş İşlemlerde İndirim Yoluyla Giderilemeyen Katma Değer Vergisinin İadesinin Talep Edilebileceği Süre Belirlenmiştir.</w:t>
      </w:r>
    </w:p>
    <w:p w:rsidR="00502EBB" w:rsidRDefault="00502EBB" w:rsidP="00502EBB">
      <w:pPr>
        <w:jc w:val="both"/>
        <w:textAlignment w:val="baseline"/>
        <w:rPr>
          <w:rFonts w:ascii="Times New Roman" w:hAnsi="Times New Roman" w:cs="Times New Roman"/>
          <w:lang w:eastAsia="tr-TR"/>
        </w:rPr>
      </w:pPr>
      <w:r>
        <w:rPr>
          <w:rFonts w:ascii="Times New Roman" w:hAnsi="Times New Roman" w:cs="Times New Roman"/>
          <w:lang w:eastAsia="tr-TR"/>
        </w:rPr>
        <w:t xml:space="preserve">Bu Kanun’un 10 uncu maddesiyle, Katma Değer Vergisi Kanunu’nun  “İstisna Edilmiş İşlemlerde İndirim” başlıklı 32 </w:t>
      </w:r>
      <w:proofErr w:type="spellStart"/>
      <w:r>
        <w:rPr>
          <w:rFonts w:ascii="Times New Roman" w:hAnsi="Times New Roman" w:cs="Times New Roman"/>
          <w:lang w:eastAsia="tr-TR"/>
        </w:rPr>
        <w:t>nci</w:t>
      </w:r>
      <w:proofErr w:type="spellEnd"/>
      <w:r>
        <w:rPr>
          <w:rFonts w:ascii="Times New Roman" w:hAnsi="Times New Roman" w:cs="Times New Roman"/>
          <w:lang w:eastAsia="tr-TR"/>
        </w:rPr>
        <w:t xml:space="preserve"> maddesinde yapılan değişiklikle; istisna edilmiş işlemler nedeniyle yüklenilen ve indirim yoluyla giderilemeyen katma değer vergisinin iadesinin talep edilebileceği süre </w:t>
      </w:r>
      <w:r>
        <w:rPr>
          <w:rFonts w:ascii="Times New Roman" w:hAnsi="Times New Roman" w:cs="Times New Roman"/>
          <w:u w:val="single"/>
          <w:lang w:eastAsia="tr-TR"/>
        </w:rPr>
        <w:t>2 yıl olarak</w:t>
      </w:r>
      <w:r>
        <w:rPr>
          <w:rFonts w:ascii="Times New Roman" w:hAnsi="Times New Roman" w:cs="Times New Roman"/>
          <w:lang w:eastAsia="tr-TR"/>
        </w:rPr>
        <w:t xml:space="preserve"> belirlenmiştir.</w:t>
      </w:r>
    </w:p>
    <w:p w:rsidR="00502EBB" w:rsidRDefault="00502EBB" w:rsidP="00502EBB">
      <w:pPr>
        <w:textAlignment w:val="baseline"/>
        <w:rPr>
          <w:rFonts w:ascii="Times New Roman" w:hAnsi="Times New Roman" w:cs="Times New Roman"/>
          <w:lang w:eastAsia="tr-TR"/>
        </w:rPr>
      </w:pPr>
      <w:r>
        <w:rPr>
          <w:rFonts w:ascii="Times New Roman" w:hAnsi="Times New Roman" w:cs="Times New Roman"/>
          <w:b/>
          <w:bCs/>
          <w:lang w:eastAsia="tr-TR"/>
        </w:rPr>
        <w:t>3. Bazı Mükelleflere Hasılat Esaslı Vergilendirme Yöntemi Getirilmiştir.</w:t>
      </w:r>
    </w:p>
    <w:p w:rsidR="00502EBB" w:rsidRDefault="00502EBB" w:rsidP="00502EBB">
      <w:pPr>
        <w:textAlignment w:val="baseline"/>
        <w:rPr>
          <w:rFonts w:ascii="Times New Roman" w:hAnsi="Times New Roman" w:cs="Times New Roman"/>
          <w:lang w:eastAsia="tr-TR"/>
        </w:rPr>
      </w:pPr>
      <w:r>
        <w:rPr>
          <w:rFonts w:ascii="Times New Roman" w:hAnsi="Times New Roman" w:cs="Times New Roman"/>
          <w:lang w:eastAsia="tr-TR"/>
        </w:rPr>
        <w:t xml:space="preserve">Bu Kanun’un 12 </w:t>
      </w:r>
      <w:proofErr w:type="spellStart"/>
      <w:r>
        <w:rPr>
          <w:rFonts w:ascii="Times New Roman" w:hAnsi="Times New Roman" w:cs="Times New Roman"/>
          <w:lang w:eastAsia="tr-TR"/>
        </w:rPr>
        <w:t>nci</w:t>
      </w:r>
      <w:proofErr w:type="spellEnd"/>
      <w:r>
        <w:rPr>
          <w:rFonts w:ascii="Times New Roman" w:hAnsi="Times New Roman" w:cs="Times New Roman"/>
          <w:lang w:eastAsia="tr-TR"/>
        </w:rPr>
        <w:t xml:space="preserve"> maddesiyle, Katma Değer Vergisi Kanunu’nun mülga 38 inci maddesi “Hasılat esaslı vergilendirme” başlığıyla birlikte yeniden düzenlenmiştir. Hasılat esaslı vergilendirme sistemine, Bakanlar Kurulu tarafından belirlenen sektörler ve meslek grupları kapsamında yer almak kaydıyla mesleki kazancı serbest meslek kazanç defterine, ticari kazancı işletme hesabı esasına göre tespit edilen mükelleflerden tercih edenler geçebilecektir. Ayrıca sisteme geçenlerin en az iki yıl sistemde kalması zorunludur.</w:t>
      </w:r>
    </w:p>
    <w:p w:rsidR="00502EBB" w:rsidRPr="00502EBB" w:rsidRDefault="00502EBB" w:rsidP="00502EBB">
      <w:pPr>
        <w:textAlignment w:val="baseline"/>
        <w:rPr>
          <w:rFonts w:ascii="Times New Roman" w:hAnsi="Times New Roman" w:cs="Times New Roman"/>
          <w:u w:val="single"/>
          <w:lang w:eastAsia="tr-TR"/>
        </w:rPr>
      </w:pPr>
      <w:r>
        <w:rPr>
          <w:rFonts w:ascii="Times New Roman" w:hAnsi="Times New Roman" w:cs="Times New Roman"/>
          <w:u w:val="single"/>
          <w:lang w:eastAsia="tr-TR"/>
        </w:rPr>
        <w:t>Hasılat esaslı vergilendirme sisteminde;</w:t>
      </w:r>
    </w:p>
    <w:p w:rsidR="00502EBB" w:rsidRDefault="00502EBB" w:rsidP="00502EBB">
      <w:pPr>
        <w:pStyle w:val="ListeParagraf"/>
        <w:numPr>
          <w:ilvl w:val="0"/>
          <w:numId w:val="24"/>
        </w:numPr>
        <w:spacing w:after="0" w:line="240" w:lineRule="auto"/>
        <w:jc w:val="both"/>
        <w:textAlignment w:val="baseline"/>
        <w:rPr>
          <w:rFonts w:ascii="Times New Roman" w:hAnsi="Times New Roman" w:cs="Times New Roman"/>
          <w:lang w:eastAsia="tr-TR"/>
        </w:rPr>
      </w:pPr>
      <w:r>
        <w:rPr>
          <w:rFonts w:ascii="Times New Roman" w:hAnsi="Times New Roman" w:cs="Times New Roman"/>
          <w:lang w:eastAsia="tr-TR"/>
        </w:rPr>
        <w:t>Belirlenen sektör ve meslek grupları kapsamındaki gelir vergisi mükelleflerince ödenmesi gereken KDV, indirilecek KDV ile ilişkilendirilmeksizin, alıcılardan tahsil edilen KDV dâhil toplam hasılata sektör bazında belirlenen oranın uygulanması suretiyle hesaplanacaktır.</w:t>
      </w:r>
    </w:p>
    <w:p w:rsidR="00502EBB" w:rsidRDefault="00502EBB" w:rsidP="00502EBB">
      <w:pPr>
        <w:pStyle w:val="ListeParagraf"/>
        <w:ind w:left="360"/>
        <w:jc w:val="both"/>
        <w:textAlignment w:val="baseline"/>
        <w:rPr>
          <w:rFonts w:ascii="Times New Roman" w:hAnsi="Times New Roman" w:cs="Times New Roman"/>
          <w:lang w:eastAsia="tr-TR"/>
        </w:rPr>
      </w:pPr>
    </w:p>
    <w:p w:rsidR="00502EBB" w:rsidRDefault="00502EBB" w:rsidP="00502EBB">
      <w:pPr>
        <w:pStyle w:val="ListeParagraf"/>
        <w:numPr>
          <w:ilvl w:val="0"/>
          <w:numId w:val="24"/>
        </w:numPr>
        <w:spacing w:after="0" w:line="240" w:lineRule="auto"/>
        <w:jc w:val="both"/>
        <w:textAlignment w:val="baseline"/>
        <w:rPr>
          <w:rFonts w:ascii="Times New Roman" w:hAnsi="Times New Roman" w:cs="Times New Roman"/>
          <w:lang w:eastAsia="tr-TR"/>
        </w:rPr>
      </w:pPr>
      <w:r>
        <w:rPr>
          <w:rFonts w:ascii="Times New Roman" w:hAnsi="Times New Roman" w:cs="Times New Roman"/>
          <w:lang w:eastAsia="tr-TR"/>
        </w:rPr>
        <w:t>Mükellefler; kendilerine yapılan teslim ve hizmetler dolayısıyla alış vesikalarında gösterilen KDV’yi ve hasılat esaslı vergilendirme usulüne göre beyan ederek ödedikleri KDV’yi kazancın tespitinde işlemin mahiyetine göre gider veya maliyet, yaptıkları teslim ve hizmetler dolayısıyla hesapladıkları KDV’yi kazancın tespitinde gelir olarak dikkate alacaklardır. Bilanço esasına göre defter tutan gelir vergisi mükelleflerinden, yıllık iş hacimleri ikinci sınıf tüccarlar için belirlenen ilgili haddin iki katına kadar olanları hasılat esaslı vergilendirme usulü kapsamına almaya Bakanlar Kuruluna; bu maddenin uygulanmasına ilişkin usul ve esasları belirlemeye Maliye Bakanlığına yetki verilmiştir.</w:t>
      </w:r>
    </w:p>
    <w:p w:rsidR="00502EBB" w:rsidRDefault="00502EBB" w:rsidP="00502EBB">
      <w:pPr>
        <w:rPr>
          <w:rFonts w:ascii="Calibri" w:hAnsi="Calibri" w:cs="Calibri"/>
        </w:rPr>
      </w:pPr>
    </w:p>
    <w:p w:rsidR="007B6A94" w:rsidRPr="0053027D" w:rsidRDefault="007B6A94" w:rsidP="0053027D">
      <w:pPr>
        <w:shd w:val="clear" w:color="auto" w:fill="FFFFFF"/>
        <w:spacing w:after="150" w:line="240" w:lineRule="auto"/>
        <w:jc w:val="both"/>
        <w:rPr>
          <w:rFonts w:ascii="Times New Roman" w:eastAsia="Times New Roman" w:hAnsi="Times New Roman" w:cs="Times New Roman"/>
          <w:sz w:val="24"/>
          <w:szCs w:val="24"/>
          <w:lang w:eastAsia="tr-TR"/>
        </w:rPr>
      </w:pPr>
    </w:p>
    <w:p w:rsidR="00D73B52" w:rsidRPr="00580A8D" w:rsidRDefault="00D73B52" w:rsidP="0053027D">
      <w:pPr>
        <w:ind w:firstLine="708"/>
        <w:jc w:val="both"/>
        <w:rPr>
          <w:rFonts w:ascii="Times New Roman" w:hAnsi="Times New Roman" w:cs="Times New Roman"/>
          <w:sz w:val="24"/>
          <w:szCs w:val="24"/>
          <w:lang w:eastAsia="tr-TR"/>
        </w:rPr>
      </w:pPr>
      <w:r w:rsidRPr="00580A8D">
        <w:rPr>
          <w:rFonts w:ascii="Times New Roman" w:hAnsi="Times New Roman" w:cs="Times New Roman"/>
          <w:sz w:val="24"/>
          <w:szCs w:val="24"/>
          <w:lang w:eastAsia="tr-TR"/>
        </w:rPr>
        <w:t>Saygılarımızla.</w:t>
      </w:r>
    </w:p>
    <w:p w:rsidR="00D73B52" w:rsidRPr="00580A8D" w:rsidRDefault="00D73B52" w:rsidP="0053027D">
      <w:pPr>
        <w:pStyle w:val="Style3"/>
        <w:widowControl/>
        <w:spacing w:line="240" w:lineRule="auto"/>
        <w:ind w:firstLine="708"/>
        <w:rPr>
          <w:rStyle w:val="FontStyle14"/>
          <w:b/>
          <w:color w:val="auto"/>
          <w:sz w:val="24"/>
          <w:szCs w:val="24"/>
        </w:rPr>
      </w:pPr>
    </w:p>
    <w:p w:rsidR="00D73B52" w:rsidRPr="00580A8D" w:rsidRDefault="00D73B52" w:rsidP="0053027D">
      <w:pPr>
        <w:pStyle w:val="Style3"/>
        <w:widowControl/>
        <w:spacing w:line="240" w:lineRule="auto"/>
        <w:ind w:firstLine="708"/>
        <w:rPr>
          <w:i/>
        </w:rPr>
      </w:pPr>
      <w:r w:rsidRPr="00580A8D">
        <w:rPr>
          <w:rStyle w:val="FontStyle14"/>
          <w:b/>
          <w:color w:val="auto"/>
          <w:sz w:val="24"/>
          <w:szCs w:val="24"/>
        </w:rPr>
        <w:t>LINEAR DENETİM VE YEMİNLİ MALİ MÜŞAVİRLİK LTD. ŞTİ.</w:t>
      </w:r>
    </w:p>
    <w:p w:rsidR="00E375AF" w:rsidRPr="00580A8D" w:rsidRDefault="00E375AF" w:rsidP="0053027D">
      <w:pPr>
        <w:pStyle w:val="NormalWeb"/>
        <w:shd w:val="clear" w:color="auto" w:fill="FFFFFF"/>
        <w:spacing w:before="0" w:beforeAutospacing="0" w:after="150" w:afterAutospacing="0"/>
        <w:jc w:val="both"/>
      </w:pPr>
    </w:p>
    <w:p w:rsidR="00E375AF" w:rsidRPr="00580A8D" w:rsidRDefault="00E375AF" w:rsidP="0053027D">
      <w:pPr>
        <w:pStyle w:val="NormalWeb"/>
        <w:shd w:val="clear" w:color="auto" w:fill="FFFFFF"/>
        <w:spacing w:before="0" w:beforeAutospacing="0" w:after="150" w:afterAutospacing="0"/>
        <w:jc w:val="both"/>
      </w:pPr>
    </w:p>
    <w:sectPr w:rsidR="00E375AF" w:rsidRPr="00580A8D">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4A01" w:rsidRDefault="00D54A01" w:rsidP="00D73B52">
      <w:pPr>
        <w:spacing w:after="0" w:line="240" w:lineRule="auto"/>
      </w:pPr>
      <w:r>
        <w:separator/>
      </w:r>
    </w:p>
  </w:endnote>
  <w:endnote w:type="continuationSeparator" w:id="0">
    <w:p w:rsidR="00D54A01" w:rsidRDefault="00D54A01" w:rsidP="00D73B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A2"/>
    <w:family w:val="swiss"/>
    <w:pitch w:val="variable"/>
    <w:sig w:usb0="E0002A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4A01" w:rsidRDefault="00D54A01" w:rsidP="00D73B52">
      <w:pPr>
        <w:spacing w:after="0" w:line="240" w:lineRule="auto"/>
      </w:pPr>
      <w:r>
        <w:separator/>
      </w:r>
    </w:p>
  </w:footnote>
  <w:footnote w:type="continuationSeparator" w:id="0">
    <w:p w:rsidR="00D54A01" w:rsidRDefault="00D54A01" w:rsidP="00D73B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3B52" w:rsidRDefault="00D73B52">
    <w:pPr>
      <w:pStyle w:val="stBilgi"/>
    </w:pPr>
    <w:r>
      <w:rPr>
        <w:noProof/>
        <w:lang w:eastAsia="tr-TR"/>
      </w:rPr>
      <w:drawing>
        <wp:anchor distT="0" distB="0" distL="114300" distR="114300" simplePos="0" relativeHeight="251658240" behindDoc="0" locked="0" layoutInCell="1" allowOverlap="1" wp14:anchorId="36F58A0C" wp14:editId="04BDBA91">
          <wp:simplePos x="0" y="0"/>
          <wp:positionH relativeFrom="column">
            <wp:posOffset>-1023620</wp:posOffset>
          </wp:positionH>
          <wp:positionV relativeFrom="paragraph">
            <wp:posOffset>-449580</wp:posOffset>
          </wp:positionV>
          <wp:extent cx="7562850" cy="1370965"/>
          <wp:effectExtent l="0" t="0" r="0" b="635"/>
          <wp:wrapTopAndBottom/>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370965"/>
                  </a:xfrm>
                  <a:prstGeom prst="rect">
                    <a:avLst/>
                  </a:prstGeom>
                  <a:noFill/>
                  <a:ln>
                    <a:noFill/>
                  </a:ln>
                </pic:spPr>
              </pic:pic>
            </a:graphicData>
          </a:graphic>
          <wp14:sizeRelH relativeFrom="margin">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B41EB"/>
    <w:multiLevelType w:val="hybridMultilevel"/>
    <w:tmpl w:val="8EAE247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B277AF0"/>
    <w:multiLevelType w:val="hybridMultilevel"/>
    <w:tmpl w:val="B4D2554A"/>
    <w:lvl w:ilvl="0" w:tplc="7FDA56A2">
      <w:start w:val="1"/>
      <w:numFmt w:val="upperLetter"/>
      <w:lvlText w:val="%1)"/>
      <w:lvlJc w:val="left"/>
      <w:pPr>
        <w:ind w:left="720" w:hanging="360"/>
      </w:pPr>
      <w:rPr>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 w15:restartNumberingAfterBreak="0">
    <w:nsid w:val="0C3178A8"/>
    <w:multiLevelType w:val="multilevel"/>
    <w:tmpl w:val="19B6C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01294B"/>
    <w:multiLevelType w:val="multilevel"/>
    <w:tmpl w:val="B142E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B5418F8"/>
    <w:multiLevelType w:val="multilevel"/>
    <w:tmpl w:val="14126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E24FF4"/>
    <w:multiLevelType w:val="hybridMultilevel"/>
    <w:tmpl w:val="8D243F1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04B1093"/>
    <w:multiLevelType w:val="multilevel"/>
    <w:tmpl w:val="208A9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F17B66"/>
    <w:multiLevelType w:val="hybridMultilevel"/>
    <w:tmpl w:val="D1A8D1A0"/>
    <w:lvl w:ilvl="0" w:tplc="93802924">
      <w:numFmt w:val="bullet"/>
      <w:lvlText w:val="-"/>
      <w:lvlJc w:val="left"/>
      <w:pPr>
        <w:ind w:left="720" w:hanging="360"/>
      </w:pPr>
      <w:rPr>
        <w:rFonts w:ascii="Helvetica" w:eastAsia="Times New Roman" w:hAnsi="Helvetica" w:cs="Helvetica"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2555767D"/>
    <w:multiLevelType w:val="hybridMultilevel"/>
    <w:tmpl w:val="D08626E8"/>
    <w:lvl w:ilvl="0" w:tplc="7D7C98FE">
      <w:start w:val="4"/>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2E0777B8"/>
    <w:multiLevelType w:val="hybridMultilevel"/>
    <w:tmpl w:val="E0B667F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3C9322F3"/>
    <w:multiLevelType w:val="hybridMultilevel"/>
    <w:tmpl w:val="0A02560E"/>
    <w:lvl w:ilvl="0" w:tplc="041F000F">
      <w:start w:val="1"/>
      <w:numFmt w:val="decimal"/>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1" w15:restartNumberingAfterBreak="0">
    <w:nsid w:val="42BA132B"/>
    <w:multiLevelType w:val="multilevel"/>
    <w:tmpl w:val="2E7C9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A346CD5"/>
    <w:multiLevelType w:val="hybridMultilevel"/>
    <w:tmpl w:val="190C23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4BDE5AC9"/>
    <w:multiLevelType w:val="hybridMultilevel"/>
    <w:tmpl w:val="3C52704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51DD4561"/>
    <w:multiLevelType w:val="hybridMultilevel"/>
    <w:tmpl w:val="DE0897A0"/>
    <w:lvl w:ilvl="0" w:tplc="041F000B">
      <w:start w:val="1"/>
      <w:numFmt w:val="bullet"/>
      <w:lvlText w:val=""/>
      <w:lvlJc w:val="left"/>
      <w:pPr>
        <w:ind w:left="360" w:hanging="360"/>
      </w:pPr>
      <w:rPr>
        <w:rFonts w:ascii="Wingdings" w:hAnsi="Wingdings"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15" w15:restartNumberingAfterBreak="0">
    <w:nsid w:val="523928F3"/>
    <w:multiLevelType w:val="hybridMultilevel"/>
    <w:tmpl w:val="DB307E82"/>
    <w:lvl w:ilvl="0" w:tplc="041F000B">
      <w:start w:val="1"/>
      <w:numFmt w:val="bullet"/>
      <w:lvlText w:val=""/>
      <w:lvlJc w:val="left"/>
      <w:pPr>
        <w:ind w:left="436" w:hanging="360"/>
      </w:pPr>
      <w:rPr>
        <w:rFonts w:ascii="Wingdings" w:hAnsi="Wingdings" w:hint="default"/>
      </w:rPr>
    </w:lvl>
    <w:lvl w:ilvl="1" w:tplc="041F0003">
      <w:start w:val="1"/>
      <w:numFmt w:val="bullet"/>
      <w:lvlText w:val="o"/>
      <w:lvlJc w:val="left"/>
      <w:pPr>
        <w:ind w:left="1156" w:hanging="360"/>
      </w:pPr>
      <w:rPr>
        <w:rFonts w:ascii="Courier New" w:hAnsi="Courier New" w:cs="Courier New" w:hint="default"/>
      </w:rPr>
    </w:lvl>
    <w:lvl w:ilvl="2" w:tplc="041F0005">
      <w:start w:val="1"/>
      <w:numFmt w:val="bullet"/>
      <w:lvlText w:val=""/>
      <w:lvlJc w:val="left"/>
      <w:pPr>
        <w:ind w:left="1876" w:hanging="360"/>
      </w:pPr>
      <w:rPr>
        <w:rFonts w:ascii="Wingdings" w:hAnsi="Wingdings" w:hint="default"/>
      </w:rPr>
    </w:lvl>
    <w:lvl w:ilvl="3" w:tplc="041F0001">
      <w:start w:val="1"/>
      <w:numFmt w:val="bullet"/>
      <w:lvlText w:val=""/>
      <w:lvlJc w:val="left"/>
      <w:pPr>
        <w:ind w:left="2596" w:hanging="360"/>
      </w:pPr>
      <w:rPr>
        <w:rFonts w:ascii="Symbol" w:hAnsi="Symbol" w:hint="default"/>
      </w:rPr>
    </w:lvl>
    <w:lvl w:ilvl="4" w:tplc="041F0003">
      <w:start w:val="1"/>
      <w:numFmt w:val="bullet"/>
      <w:lvlText w:val="o"/>
      <w:lvlJc w:val="left"/>
      <w:pPr>
        <w:ind w:left="3316" w:hanging="360"/>
      </w:pPr>
      <w:rPr>
        <w:rFonts w:ascii="Courier New" w:hAnsi="Courier New" w:cs="Courier New" w:hint="default"/>
      </w:rPr>
    </w:lvl>
    <w:lvl w:ilvl="5" w:tplc="041F0005">
      <w:start w:val="1"/>
      <w:numFmt w:val="bullet"/>
      <w:lvlText w:val=""/>
      <w:lvlJc w:val="left"/>
      <w:pPr>
        <w:ind w:left="4036" w:hanging="360"/>
      </w:pPr>
      <w:rPr>
        <w:rFonts w:ascii="Wingdings" w:hAnsi="Wingdings" w:hint="default"/>
      </w:rPr>
    </w:lvl>
    <w:lvl w:ilvl="6" w:tplc="041F0001">
      <w:start w:val="1"/>
      <w:numFmt w:val="bullet"/>
      <w:lvlText w:val=""/>
      <w:lvlJc w:val="left"/>
      <w:pPr>
        <w:ind w:left="4756" w:hanging="360"/>
      </w:pPr>
      <w:rPr>
        <w:rFonts w:ascii="Symbol" w:hAnsi="Symbol" w:hint="default"/>
      </w:rPr>
    </w:lvl>
    <w:lvl w:ilvl="7" w:tplc="041F0003">
      <w:start w:val="1"/>
      <w:numFmt w:val="bullet"/>
      <w:lvlText w:val="o"/>
      <w:lvlJc w:val="left"/>
      <w:pPr>
        <w:ind w:left="5476" w:hanging="360"/>
      </w:pPr>
      <w:rPr>
        <w:rFonts w:ascii="Courier New" w:hAnsi="Courier New" w:cs="Courier New" w:hint="default"/>
      </w:rPr>
    </w:lvl>
    <w:lvl w:ilvl="8" w:tplc="041F0005">
      <w:start w:val="1"/>
      <w:numFmt w:val="bullet"/>
      <w:lvlText w:val=""/>
      <w:lvlJc w:val="left"/>
      <w:pPr>
        <w:ind w:left="6196" w:hanging="360"/>
      </w:pPr>
      <w:rPr>
        <w:rFonts w:ascii="Wingdings" w:hAnsi="Wingdings" w:hint="default"/>
      </w:rPr>
    </w:lvl>
  </w:abstractNum>
  <w:abstractNum w:abstractNumId="16" w15:restartNumberingAfterBreak="0">
    <w:nsid w:val="5ECB4947"/>
    <w:multiLevelType w:val="hybridMultilevel"/>
    <w:tmpl w:val="0E5E7370"/>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7" w15:restartNumberingAfterBreak="0">
    <w:nsid w:val="757A24F8"/>
    <w:multiLevelType w:val="hybridMultilevel"/>
    <w:tmpl w:val="0FBE637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77875319"/>
    <w:multiLevelType w:val="multilevel"/>
    <w:tmpl w:val="50CE6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CB867B2"/>
    <w:multiLevelType w:val="hybridMultilevel"/>
    <w:tmpl w:val="C4626AC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7E6362B3"/>
    <w:multiLevelType w:val="hybridMultilevel"/>
    <w:tmpl w:val="55064AA2"/>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1" w15:restartNumberingAfterBreak="0">
    <w:nsid w:val="7F49643C"/>
    <w:multiLevelType w:val="hybridMultilevel"/>
    <w:tmpl w:val="762861BE"/>
    <w:lvl w:ilvl="0" w:tplc="0CBABA16">
      <w:start w:val="3"/>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7"/>
  </w:num>
  <w:num w:numId="2">
    <w:abstractNumId w:val="0"/>
  </w:num>
  <w:num w:numId="3">
    <w:abstractNumId w:val="8"/>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11"/>
  </w:num>
  <w:num w:numId="7">
    <w:abstractNumId w:val="6"/>
  </w:num>
  <w:num w:numId="8">
    <w:abstractNumId w:val="7"/>
  </w:num>
  <w:num w:numId="9">
    <w:abstractNumId w:val="2"/>
  </w:num>
  <w:num w:numId="10">
    <w:abstractNumId w:val="1"/>
  </w:num>
  <w:num w:numId="11">
    <w:abstractNumId w:val="12"/>
  </w:num>
  <w:num w:numId="12">
    <w:abstractNumId w:val="16"/>
  </w:num>
  <w:num w:numId="13">
    <w:abstractNumId w:val="18"/>
  </w:num>
  <w:num w:numId="14">
    <w:abstractNumId w:val="18"/>
  </w:num>
  <w:num w:numId="15">
    <w:abstractNumId w:val="4"/>
  </w:num>
  <w:num w:numId="16">
    <w:abstractNumId w:val="13"/>
  </w:num>
  <w:num w:numId="17">
    <w:abstractNumId w:val="9"/>
  </w:num>
  <w:num w:numId="18">
    <w:abstractNumId w:val="5"/>
  </w:num>
  <w:num w:numId="19">
    <w:abstractNumId w:val="19"/>
  </w:num>
  <w:num w:numId="20">
    <w:abstractNumId w:val="20"/>
  </w:num>
  <w:num w:numId="21">
    <w:abstractNumId w:val="10"/>
  </w:num>
  <w:num w:numId="22">
    <w:abstractNumId w:val="21"/>
  </w:num>
  <w:num w:numId="23">
    <w:abstractNumId w:val="15"/>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71E4"/>
    <w:rsid w:val="00055539"/>
    <w:rsid w:val="000858E2"/>
    <w:rsid w:val="000A6004"/>
    <w:rsid w:val="000B3D19"/>
    <w:rsid w:val="000E6351"/>
    <w:rsid w:val="00101456"/>
    <w:rsid w:val="00104AC2"/>
    <w:rsid w:val="00121393"/>
    <w:rsid w:val="00130DF1"/>
    <w:rsid w:val="001407BB"/>
    <w:rsid w:val="001C5A82"/>
    <w:rsid w:val="001E624E"/>
    <w:rsid w:val="0023275B"/>
    <w:rsid w:val="00275286"/>
    <w:rsid w:val="002907D2"/>
    <w:rsid w:val="00294573"/>
    <w:rsid w:val="002A10B0"/>
    <w:rsid w:val="002D76DA"/>
    <w:rsid w:val="002E041A"/>
    <w:rsid w:val="003178CA"/>
    <w:rsid w:val="003221E7"/>
    <w:rsid w:val="003242FE"/>
    <w:rsid w:val="00335BB2"/>
    <w:rsid w:val="003C71E4"/>
    <w:rsid w:val="004965A7"/>
    <w:rsid w:val="004A5ED9"/>
    <w:rsid w:val="004B2F3B"/>
    <w:rsid w:val="00502EBB"/>
    <w:rsid w:val="00504914"/>
    <w:rsid w:val="00516B65"/>
    <w:rsid w:val="0053027D"/>
    <w:rsid w:val="005505E8"/>
    <w:rsid w:val="00580A8D"/>
    <w:rsid w:val="005A167D"/>
    <w:rsid w:val="005C5615"/>
    <w:rsid w:val="006349E7"/>
    <w:rsid w:val="00635C23"/>
    <w:rsid w:val="0068190A"/>
    <w:rsid w:val="00684E10"/>
    <w:rsid w:val="006C19C0"/>
    <w:rsid w:val="006C60C4"/>
    <w:rsid w:val="006D6662"/>
    <w:rsid w:val="006F6242"/>
    <w:rsid w:val="0075055F"/>
    <w:rsid w:val="007A034A"/>
    <w:rsid w:val="007A10A4"/>
    <w:rsid w:val="007B404A"/>
    <w:rsid w:val="007B6A94"/>
    <w:rsid w:val="00807C9B"/>
    <w:rsid w:val="00870D07"/>
    <w:rsid w:val="00875C73"/>
    <w:rsid w:val="008E7B5F"/>
    <w:rsid w:val="008F2114"/>
    <w:rsid w:val="00914252"/>
    <w:rsid w:val="0097290E"/>
    <w:rsid w:val="009A415F"/>
    <w:rsid w:val="009A4F05"/>
    <w:rsid w:val="009D1A74"/>
    <w:rsid w:val="00A6438A"/>
    <w:rsid w:val="00A76197"/>
    <w:rsid w:val="00A852BC"/>
    <w:rsid w:val="00AB250E"/>
    <w:rsid w:val="00AC3729"/>
    <w:rsid w:val="00AD2258"/>
    <w:rsid w:val="00B62D8A"/>
    <w:rsid w:val="00BB76A9"/>
    <w:rsid w:val="00BC74D1"/>
    <w:rsid w:val="00BE08A0"/>
    <w:rsid w:val="00BE20BF"/>
    <w:rsid w:val="00C11148"/>
    <w:rsid w:val="00C358D2"/>
    <w:rsid w:val="00C52CFF"/>
    <w:rsid w:val="00CA3A66"/>
    <w:rsid w:val="00D11FCA"/>
    <w:rsid w:val="00D13E4D"/>
    <w:rsid w:val="00D21CCB"/>
    <w:rsid w:val="00D3591D"/>
    <w:rsid w:val="00D54A01"/>
    <w:rsid w:val="00D73B52"/>
    <w:rsid w:val="00DB5512"/>
    <w:rsid w:val="00DB5812"/>
    <w:rsid w:val="00DE023A"/>
    <w:rsid w:val="00E131B3"/>
    <w:rsid w:val="00E375AF"/>
    <w:rsid w:val="00E8497E"/>
    <w:rsid w:val="00EC486C"/>
    <w:rsid w:val="00F0529F"/>
    <w:rsid w:val="00F1060F"/>
    <w:rsid w:val="00F27A9F"/>
    <w:rsid w:val="00FB35FE"/>
    <w:rsid w:val="00FF4BB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F833CB3-059D-4CF5-80E7-D509EB77A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870D07"/>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Balk2">
    <w:name w:val="heading 2"/>
    <w:basedOn w:val="Normal"/>
    <w:link w:val="Balk2Char"/>
    <w:uiPriority w:val="9"/>
    <w:qFormat/>
    <w:rsid w:val="00E8497E"/>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3C71E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2D76DA"/>
    <w:rPr>
      <w:i/>
      <w:iCs/>
    </w:rPr>
  </w:style>
  <w:style w:type="character" w:styleId="Gl">
    <w:name w:val="Strong"/>
    <w:basedOn w:val="VarsaylanParagrafYazTipi"/>
    <w:uiPriority w:val="22"/>
    <w:qFormat/>
    <w:rsid w:val="002D76DA"/>
    <w:rPr>
      <w:b/>
      <w:bCs/>
    </w:rPr>
  </w:style>
  <w:style w:type="character" w:styleId="Kpr">
    <w:name w:val="Hyperlink"/>
    <w:basedOn w:val="VarsaylanParagrafYazTipi"/>
    <w:uiPriority w:val="99"/>
    <w:unhideWhenUsed/>
    <w:rsid w:val="002D76DA"/>
    <w:rPr>
      <w:color w:val="0000FF"/>
      <w:u w:val="single"/>
    </w:rPr>
  </w:style>
  <w:style w:type="character" w:customStyle="1" w:styleId="FontStyle11">
    <w:name w:val="Font Style11"/>
    <w:basedOn w:val="VarsaylanParagrafYazTipi"/>
    <w:uiPriority w:val="99"/>
    <w:rsid w:val="00D73B52"/>
    <w:rPr>
      <w:rFonts w:ascii="Times New Roman" w:hAnsi="Times New Roman" w:cs="Times New Roman" w:hint="default"/>
      <w:b/>
      <w:bCs/>
      <w:smallCaps/>
      <w:color w:val="000000"/>
    </w:rPr>
  </w:style>
  <w:style w:type="paragraph" w:customStyle="1" w:styleId="Style3">
    <w:name w:val="Style3"/>
    <w:basedOn w:val="Normal"/>
    <w:uiPriority w:val="99"/>
    <w:rsid w:val="00D73B52"/>
    <w:pPr>
      <w:widowControl w:val="0"/>
      <w:autoSpaceDE w:val="0"/>
      <w:autoSpaceDN w:val="0"/>
      <w:adjustRightInd w:val="0"/>
      <w:spacing w:after="0" w:line="276" w:lineRule="exact"/>
      <w:jc w:val="both"/>
    </w:pPr>
    <w:rPr>
      <w:rFonts w:ascii="Times New Roman" w:eastAsia="Times New Roman" w:hAnsi="Times New Roman" w:cs="Times New Roman"/>
      <w:sz w:val="24"/>
      <w:szCs w:val="24"/>
      <w:lang w:eastAsia="tr-TR"/>
    </w:rPr>
  </w:style>
  <w:style w:type="character" w:customStyle="1" w:styleId="FontStyle14">
    <w:name w:val="Font Style14"/>
    <w:uiPriority w:val="99"/>
    <w:rsid w:val="00D73B52"/>
    <w:rPr>
      <w:rFonts w:ascii="Times New Roman" w:hAnsi="Times New Roman" w:cs="Times New Roman"/>
      <w:color w:val="000000"/>
      <w:sz w:val="22"/>
      <w:szCs w:val="22"/>
    </w:rPr>
  </w:style>
  <w:style w:type="paragraph" w:styleId="stBilgi">
    <w:name w:val="header"/>
    <w:basedOn w:val="Normal"/>
    <w:link w:val="stBilgiChar"/>
    <w:uiPriority w:val="99"/>
    <w:unhideWhenUsed/>
    <w:rsid w:val="00D73B5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73B52"/>
  </w:style>
  <w:style w:type="paragraph" w:styleId="AltBilgi">
    <w:name w:val="footer"/>
    <w:basedOn w:val="Normal"/>
    <w:link w:val="AltBilgiChar"/>
    <w:uiPriority w:val="99"/>
    <w:unhideWhenUsed/>
    <w:rsid w:val="00D73B5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73B52"/>
  </w:style>
  <w:style w:type="paragraph" w:styleId="ListeParagraf">
    <w:name w:val="List Paragraph"/>
    <w:basedOn w:val="Normal"/>
    <w:uiPriority w:val="34"/>
    <w:qFormat/>
    <w:rsid w:val="00914252"/>
    <w:pPr>
      <w:ind w:left="720"/>
      <w:contextualSpacing/>
    </w:pPr>
  </w:style>
  <w:style w:type="character" w:customStyle="1" w:styleId="Balk2Char">
    <w:name w:val="Başlık 2 Char"/>
    <w:basedOn w:val="VarsaylanParagrafYazTipi"/>
    <w:link w:val="Balk2"/>
    <w:uiPriority w:val="9"/>
    <w:rsid w:val="00E8497E"/>
    <w:rPr>
      <w:rFonts w:ascii="Times New Roman" w:eastAsia="Times New Roman" w:hAnsi="Times New Roman" w:cs="Times New Roman"/>
      <w:b/>
      <w:bCs/>
      <w:sz w:val="36"/>
      <w:szCs w:val="36"/>
      <w:lang w:eastAsia="tr-TR"/>
    </w:rPr>
  </w:style>
  <w:style w:type="paragraph" w:customStyle="1" w:styleId="Style2">
    <w:name w:val="Style2"/>
    <w:basedOn w:val="Normal"/>
    <w:uiPriority w:val="99"/>
    <w:rsid w:val="00516B65"/>
    <w:pPr>
      <w:widowControl w:val="0"/>
      <w:autoSpaceDE w:val="0"/>
      <w:autoSpaceDN w:val="0"/>
      <w:adjustRightInd w:val="0"/>
      <w:spacing w:after="0" w:line="240" w:lineRule="auto"/>
    </w:pPr>
    <w:rPr>
      <w:rFonts w:ascii="Times New Roman" w:eastAsiaTheme="minorEastAsia" w:hAnsi="Times New Roman" w:cs="Times New Roman"/>
      <w:sz w:val="24"/>
      <w:szCs w:val="24"/>
      <w:lang w:eastAsia="tr-TR"/>
    </w:rPr>
  </w:style>
  <w:style w:type="character" w:customStyle="1" w:styleId="Balk1Char">
    <w:name w:val="Başlık 1 Char"/>
    <w:basedOn w:val="VarsaylanParagrafYazTipi"/>
    <w:link w:val="Balk1"/>
    <w:uiPriority w:val="9"/>
    <w:rsid w:val="00870D07"/>
    <w:rPr>
      <w:rFonts w:asciiTheme="majorHAnsi" w:eastAsiaTheme="majorEastAsia" w:hAnsiTheme="majorHAnsi" w:cstheme="majorBidi"/>
      <w:b/>
      <w:bCs/>
      <w:color w:val="2F5496" w:themeColor="accent1" w:themeShade="BF"/>
      <w:sz w:val="28"/>
      <w:szCs w:val="28"/>
    </w:rPr>
  </w:style>
  <w:style w:type="paragraph" w:customStyle="1" w:styleId="ortabalkbold">
    <w:name w:val="ortabalkbold"/>
    <w:basedOn w:val="Normal"/>
    <w:uiPriority w:val="99"/>
    <w:rsid w:val="00502EBB"/>
    <w:pPr>
      <w:spacing w:before="100" w:beforeAutospacing="1" w:after="100" w:afterAutospacing="1" w:line="240" w:lineRule="auto"/>
    </w:pPr>
    <w:rPr>
      <w:rFonts w:ascii="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506845">
      <w:bodyDiv w:val="1"/>
      <w:marLeft w:val="0"/>
      <w:marRight w:val="0"/>
      <w:marTop w:val="0"/>
      <w:marBottom w:val="0"/>
      <w:divBdr>
        <w:top w:val="none" w:sz="0" w:space="0" w:color="auto"/>
        <w:left w:val="none" w:sz="0" w:space="0" w:color="auto"/>
        <w:bottom w:val="none" w:sz="0" w:space="0" w:color="auto"/>
        <w:right w:val="none" w:sz="0" w:space="0" w:color="auto"/>
      </w:divBdr>
    </w:div>
    <w:div w:id="189731645">
      <w:bodyDiv w:val="1"/>
      <w:marLeft w:val="0"/>
      <w:marRight w:val="0"/>
      <w:marTop w:val="0"/>
      <w:marBottom w:val="0"/>
      <w:divBdr>
        <w:top w:val="none" w:sz="0" w:space="0" w:color="auto"/>
        <w:left w:val="none" w:sz="0" w:space="0" w:color="auto"/>
        <w:bottom w:val="none" w:sz="0" w:space="0" w:color="auto"/>
        <w:right w:val="none" w:sz="0" w:space="0" w:color="auto"/>
      </w:divBdr>
    </w:div>
    <w:div w:id="227765753">
      <w:bodyDiv w:val="1"/>
      <w:marLeft w:val="0"/>
      <w:marRight w:val="0"/>
      <w:marTop w:val="0"/>
      <w:marBottom w:val="0"/>
      <w:divBdr>
        <w:top w:val="none" w:sz="0" w:space="0" w:color="auto"/>
        <w:left w:val="none" w:sz="0" w:space="0" w:color="auto"/>
        <w:bottom w:val="none" w:sz="0" w:space="0" w:color="auto"/>
        <w:right w:val="none" w:sz="0" w:space="0" w:color="auto"/>
      </w:divBdr>
    </w:div>
    <w:div w:id="253781829">
      <w:bodyDiv w:val="1"/>
      <w:marLeft w:val="0"/>
      <w:marRight w:val="0"/>
      <w:marTop w:val="0"/>
      <w:marBottom w:val="0"/>
      <w:divBdr>
        <w:top w:val="none" w:sz="0" w:space="0" w:color="auto"/>
        <w:left w:val="none" w:sz="0" w:space="0" w:color="auto"/>
        <w:bottom w:val="none" w:sz="0" w:space="0" w:color="auto"/>
        <w:right w:val="none" w:sz="0" w:space="0" w:color="auto"/>
      </w:divBdr>
    </w:div>
    <w:div w:id="300618642">
      <w:bodyDiv w:val="1"/>
      <w:marLeft w:val="0"/>
      <w:marRight w:val="0"/>
      <w:marTop w:val="0"/>
      <w:marBottom w:val="0"/>
      <w:divBdr>
        <w:top w:val="none" w:sz="0" w:space="0" w:color="auto"/>
        <w:left w:val="none" w:sz="0" w:space="0" w:color="auto"/>
        <w:bottom w:val="none" w:sz="0" w:space="0" w:color="auto"/>
        <w:right w:val="none" w:sz="0" w:space="0" w:color="auto"/>
      </w:divBdr>
    </w:div>
    <w:div w:id="460616900">
      <w:bodyDiv w:val="1"/>
      <w:marLeft w:val="0"/>
      <w:marRight w:val="0"/>
      <w:marTop w:val="0"/>
      <w:marBottom w:val="0"/>
      <w:divBdr>
        <w:top w:val="none" w:sz="0" w:space="0" w:color="auto"/>
        <w:left w:val="none" w:sz="0" w:space="0" w:color="auto"/>
        <w:bottom w:val="none" w:sz="0" w:space="0" w:color="auto"/>
        <w:right w:val="none" w:sz="0" w:space="0" w:color="auto"/>
      </w:divBdr>
    </w:div>
    <w:div w:id="546182796">
      <w:bodyDiv w:val="1"/>
      <w:marLeft w:val="0"/>
      <w:marRight w:val="0"/>
      <w:marTop w:val="0"/>
      <w:marBottom w:val="0"/>
      <w:divBdr>
        <w:top w:val="none" w:sz="0" w:space="0" w:color="auto"/>
        <w:left w:val="none" w:sz="0" w:space="0" w:color="auto"/>
        <w:bottom w:val="none" w:sz="0" w:space="0" w:color="auto"/>
        <w:right w:val="none" w:sz="0" w:space="0" w:color="auto"/>
      </w:divBdr>
    </w:div>
    <w:div w:id="754983799">
      <w:bodyDiv w:val="1"/>
      <w:marLeft w:val="0"/>
      <w:marRight w:val="0"/>
      <w:marTop w:val="0"/>
      <w:marBottom w:val="0"/>
      <w:divBdr>
        <w:top w:val="none" w:sz="0" w:space="0" w:color="auto"/>
        <w:left w:val="none" w:sz="0" w:space="0" w:color="auto"/>
        <w:bottom w:val="none" w:sz="0" w:space="0" w:color="auto"/>
        <w:right w:val="none" w:sz="0" w:space="0" w:color="auto"/>
      </w:divBdr>
    </w:div>
    <w:div w:id="777799760">
      <w:bodyDiv w:val="1"/>
      <w:marLeft w:val="0"/>
      <w:marRight w:val="0"/>
      <w:marTop w:val="0"/>
      <w:marBottom w:val="0"/>
      <w:divBdr>
        <w:top w:val="none" w:sz="0" w:space="0" w:color="auto"/>
        <w:left w:val="none" w:sz="0" w:space="0" w:color="auto"/>
        <w:bottom w:val="none" w:sz="0" w:space="0" w:color="auto"/>
        <w:right w:val="none" w:sz="0" w:space="0" w:color="auto"/>
      </w:divBdr>
    </w:div>
    <w:div w:id="844712853">
      <w:bodyDiv w:val="1"/>
      <w:marLeft w:val="0"/>
      <w:marRight w:val="0"/>
      <w:marTop w:val="0"/>
      <w:marBottom w:val="0"/>
      <w:divBdr>
        <w:top w:val="none" w:sz="0" w:space="0" w:color="auto"/>
        <w:left w:val="none" w:sz="0" w:space="0" w:color="auto"/>
        <w:bottom w:val="none" w:sz="0" w:space="0" w:color="auto"/>
        <w:right w:val="none" w:sz="0" w:space="0" w:color="auto"/>
      </w:divBdr>
    </w:div>
    <w:div w:id="933977695">
      <w:bodyDiv w:val="1"/>
      <w:marLeft w:val="0"/>
      <w:marRight w:val="0"/>
      <w:marTop w:val="0"/>
      <w:marBottom w:val="0"/>
      <w:divBdr>
        <w:top w:val="none" w:sz="0" w:space="0" w:color="auto"/>
        <w:left w:val="none" w:sz="0" w:space="0" w:color="auto"/>
        <w:bottom w:val="none" w:sz="0" w:space="0" w:color="auto"/>
        <w:right w:val="none" w:sz="0" w:space="0" w:color="auto"/>
      </w:divBdr>
    </w:div>
    <w:div w:id="1127509006">
      <w:bodyDiv w:val="1"/>
      <w:marLeft w:val="0"/>
      <w:marRight w:val="0"/>
      <w:marTop w:val="0"/>
      <w:marBottom w:val="0"/>
      <w:divBdr>
        <w:top w:val="none" w:sz="0" w:space="0" w:color="auto"/>
        <w:left w:val="none" w:sz="0" w:space="0" w:color="auto"/>
        <w:bottom w:val="none" w:sz="0" w:space="0" w:color="auto"/>
        <w:right w:val="none" w:sz="0" w:space="0" w:color="auto"/>
      </w:divBdr>
    </w:div>
    <w:div w:id="1162550473">
      <w:bodyDiv w:val="1"/>
      <w:marLeft w:val="0"/>
      <w:marRight w:val="0"/>
      <w:marTop w:val="0"/>
      <w:marBottom w:val="0"/>
      <w:divBdr>
        <w:top w:val="none" w:sz="0" w:space="0" w:color="auto"/>
        <w:left w:val="none" w:sz="0" w:space="0" w:color="auto"/>
        <w:bottom w:val="none" w:sz="0" w:space="0" w:color="auto"/>
        <w:right w:val="none" w:sz="0" w:space="0" w:color="auto"/>
      </w:divBdr>
    </w:div>
    <w:div w:id="1172062798">
      <w:bodyDiv w:val="1"/>
      <w:marLeft w:val="0"/>
      <w:marRight w:val="0"/>
      <w:marTop w:val="0"/>
      <w:marBottom w:val="0"/>
      <w:divBdr>
        <w:top w:val="none" w:sz="0" w:space="0" w:color="auto"/>
        <w:left w:val="none" w:sz="0" w:space="0" w:color="auto"/>
        <w:bottom w:val="none" w:sz="0" w:space="0" w:color="auto"/>
        <w:right w:val="none" w:sz="0" w:space="0" w:color="auto"/>
      </w:divBdr>
    </w:div>
    <w:div w:id="1241869546">
      <w:bodyDiv w:val="1"/>
      <w:marLeft w:val="0"/>
      <w:marRight w:val="0"/>
      <w:marTop w:val="0"/>
      <w:marBottom w:val="0"/>
      <w:divBdr>
        <w:top w:val="none" w:sz="0" w:space="0" w:color="auto"/>
        <w:left w:val="none" w:sz="0" w:space="0" w:color="auto"/>
        <w:bottom w:val="none" w:sz="0" w:space="0" w:color="auto"/>
        <w:right w:val="none" w:sz="0" w:space="0" w:color="auto"/>
      </w:divBdr>
    </w:div>
    <w:div w:id="1372874162">
      <w:bodyDiv w:val="1"/>
      <w:marLeft w:val="0"/>
      <w:marRight w:val="0"/>
      <w:marTop w:val="0"/>
      <w:marBottom w:val="0"/>
      <w:divBdr>
        <w:top w:val="none" w:sz="0" w:space="0" w:color="auto"/>
        <w:left w:val="none" w:sz="0" w:space="0" w:color="auto"/>
        <w:bottom w:val="none" w:sz="0" w:space="0" w:color="auto"/>
        <w:right w:val="none" w:sz="0" w:space="0" w:color="auto"/>
      </w:divBdr>
    </w:div>
    <w:div w:id="1383016869">
      <w:bodyDiv w:val="1"/>
      <w:marLeft w:val="0"/>
      <w:marRight w:val="0"/>
      <w:marTop w:val="0"/>
      <w:marBottom w:val="0"/>
      <w:divBdr>
        <w:top w:val="none" w:sz="0" w:space="0" w:color="auto"/>
        <w:left w:val="none" w:sz="0" w:space="0" w:color="auto"/>
        <w:bottom w:val="none" w:sz="0" w:space="0" w:color="auto"/>
        <w:right w:val="none" w:sz="0" w:space="0" w:color="auto"/>
      </w:divBdr>
    </w:div>
    <w:div w:id="1384064703">
      <w:bodyDiv w:val="1"/>
      <w:marLeft w:val="0"/>
      <w:marRight w:val="0"/>
      <w:marTop w:val="0"/>
      <w:marBottom w:val="0"/>
      <w:divBdr>
        <w:top w:val="none" w:sz="0" w:space="0" w:color="auto"/>
        <w:left w:val="none" w:sz="0" w:space="0" w:color="auto"/>
        <w:bottom w:val="none" w:sz="0" w:space="0" w:color="auto"/>
        <w:right w:val="none" w:sz="0" w:space="0" w:color="auto"/>
      </w:divBdr>
      <w:divsChild>
        <w:div w:id="566957722">
          <w:marLeft w:val="0"/>
          <w:marRight w:val="0"/>
          <w:marTop w:val="0"/>
          <w:marBottom w:val="0"/>
          <w:divBdr>
            <w:top w:val="none" w:sz="0" w:space="0" w:color="auto"/>
            <w:left w:val="none" w:sz="0" w:space="0" w:color="auto"/>
            <w:bottom w:val="none" w:sz="0" w:space="0" w:color="auto"/>
            <w:right w:val="none" w:sz="0" w:space="0" w:color="auto"/>
          </w:divBdr>
        </w:div>
        <w:div w:id="1417745872">
          <w:marLeft w:val="0"/>
          <w:marRight w:val="0"/>
          <w:marTop w:val="0"/>
          <w:marBottom w:val="0"/>
          <w:divBdr>
            <w:top w:val="none" w:sz="0" w:space="0" w:color="auto"/>
            <w:left w:val="none" w:sz="0" w:space="0" w:color="auto"/>
            <w:bottom w:val="none" w:sz="0" w:space="0" w:color="auto"/>
            <w:right w:val="none" w:sz="0" w:space="0" w:color="auto"/>
          </w:divBdr>
        </w:div>
      </w:divsChild>
    </w:div>
    <w:div w:id="1512185425">
      <w:bodyDiv w:val="1"/>
      <w:marLeft w:val="0"/>
      <w:marRight w:val="0"/>
      <w:marTop w:val="0"/>
      <w:marBottom w:val="0"/>
      <w:divBdr>
        <w:top w:val="none" w:sz="0" w:space="0" w:color="auto"/>
        <w:left w:val="none" w:sz="0" w:space="0" w:color="auto"/>
        <w:bottom w:val="none" w:sz="0" w:space="0" w:color="auto"/>
        <w:right w:val="none" w:sz="0" w:space="0" w:color="auto"/>
      </w:divBdr>
    </w:div>
    <w:div w:id="1548562737">
      <w:bodyDiv w:val="1"/>
      <w:marLeft w:val="0"/>
      <w:marRight w:val="0"/>
      <w:marTop w:val="0"/>
      <w:marBottom w:val="0"/>
      <w:divBdr>
        <w:top w:val="none" w:sz="0" w:space="0" w:color="auto"/>
        <w:left w:val="none" w:sz="0" w:space="0" w:color="auto"/>
        <w:bottom w:val="none" w:sz="0" w:space="0" w:color="auto"/>
        <w:right w:val="none" w:sz="0" w:space="0" w:color="auto"/>
      </w:divBdr>
    </w:div>
    <w:div w:id="1650282470">
      <w:bodyDiv w:val="1"/>
      <w:marLeft w:val="0"/>
      <w:marRight w:val="0"/>
      <w:marTop w:val="0"/>
      <w:marBottom w:val="0"/>
      <w:divBdr>
        <w:top w:val="none" w:sz="0" w:space="0" w:color="auto"/>
        <w:left w:val="none" w:sz="0" w:space="0" w:color="auto"/>
        <w:bottom w:val="none" w:sz="0" w:space="0" w:color="auto"/>
        <w:right w:val="none" w:sz="0" w:space="0" w:color="auto"/>
      </w:divBdr>
    </w:div>
    <w:div w:id="1666199871">
      <w:bodyDiv w:val="1"/>
      <w:marLeft w:val="0"/>
      <w:marRight w:val="0"/>
      <w:marTop w:val="0"/>
      <w:marBottom w:val="0"/>
      <w:divBdr>
        <w:top w:val="none" w:sz="0" w:space="0" w:color="auto"/>
        <w:left w:val="none" w:sz="0" w:space="0" w:color="auto"/>
        <w:bottom w:val="none" w:sz="0" w:space="0" w:color="auto"/>
        <w:right w:val="none" w:sz="0" w:space="0" w:color="auto"/>
      </w:divBdr>
    </w:div>
    <w:div w:id="1703439267">
      <w:bodyDiv w:val="1"/>
      <w:marLeft w:val="0"/>
      <w:marRight w:val="0"/>
      <w:marTop w:val="0"/>
      <w:marBottom w:val="0"/>
      <w:divBdr>
        <w:top w:val="none" w:sz="0" w:space="0" w:color="auto"/>
        <w:left w:val="none" w:sz="0" w:space="0" w:color="auto"/>
        <w:bottom w:val="none" w:sz="0" w:space="0" w:color="auto"/>
        <w:right w:val="none" w:sz="0" w:space="0" w:color="auto"/>
      </w:divBdr>
    </w:div>
    <w:div w:id="1711492783">
      <w:bodyDiv w:val="1"/>
      <w:marLeft w:val="0"/>
      <w:marRight w:val="0"/>
      <w:marTop w:val="0"/>
      <w:marBottom w:val="0"/>
      <w:divBdr>
        <w:top w:val="none" w:sz="0" w:space="0" w:color="auto"/>
        <w:left w:val="none" w:sz="0" w:space="0" w:color="auto"/>
        <w:bottom w:val="none" w:sz="0" w:space="0" w:color="auto"/>
        <w:right w:val="none" w:sz="0" w:space="0" w:color="auto"/>
      </w:divBdr>
    </w:div>
    <w:div w:id="1713454795">
      <w:bodyDiv w:val="1"/>
      <w:marLeft w:val="0"/>
      <w:marRight w:val="0"/>
      <w:marTop w:val="0"/>
      <w:marBottom w:val="0"/>
      <w:divBdr>
        <w:top w:val="none" w:sz="0" w:space="0" w:color="auto"/>
        <w:left w:val="none" w:sz="0" w:space="0" w:color="auto"/>
        <w:bottom w:val="none" w:sz="0" w:space="0" w:color="auto"/>
        <w:right w:val="none" w:sz="0" w:space="0" w:color="auto"/>
      </w:divBdr>
    </w:div>
    <w:div w:id="1761442247">
      <w:bodyDiv w:val="1"/>
      <w:marLeft w:val="0"/>
      <w:marRight w:val="0"/>
      <w:marTop w:val="0"/>
      <w:marBottom w:val="0"/>
      <w:divBdr>
        <w:top w:val="none" w:sz="0" w:space="0" w:color="auto"/>
        <w:left w:val="none" w:sz="0" w:space="0" w:color="auto"/>
        <w:bottom w:val="none" w:sz="0" w:space="0" w:color="auto"/>
        <w:right w:val="none" w:sz="0" w:space="0" w:color="auto"/>
      </w:divBdr>
    </w:div>
    <w:div w:id="1860468059">
      <w:bodyDiv w:val="1"/>
      <w:marLeft w:val="0"/>
      <w:marRight w:val="0"/>
      <w:marTop w:val="0"/>
      <w:marBottom w:val="0"/>
      <w:divBdr>
        <w:top w:val="none" w:sz="0" w:space="0" w:color="auto"/>
        <w:left w:val="none" w:sz="0" w:space="0" w:color="auto"/>
        <w:bottom w:val="none" w:sz="0" w:space="0" w:color="auto"/>
        <w:right w:val="none" w:sz="0" w:space="0" w:color="auto"/>
      </w:divBdr>
    </w:div>
    <w:div w:id="2031833231">
      <w:bodyDiv w:val="1"/>
      <w:marLeft w:val="0"/>
      <w:marRight w:val="0"/>
      <w:marTop w:val="0"/>
      <w:marBottom w:val="0"/>
      <w:divBdr>
        <w:top w:val="none" w:sz="0" w:space="0" w:color="auto"/>
        <w:left w:val="none" w:sz="0" w:space="0" w:color="auto"/>
        <w:bottom w:val="none" w:sz="0" w:space="0" w:color="auto"/>
        <w:right w:val="none" w:sz="0" w:space="0" w:color="auto"/>
      </w:divBdr>
    </w:div>
    <w:div w:id="2051878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849</Words>
  <Characters>4840</Characters>
  <Application>Microsoft Office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5678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2019-03-01T09:59:00Z</dcterms:created>
  <dcterms:modified xsi:type="dcterms:W3CDTF">2019-03-01T09:59:00Z</dcterms:modified>
</cp:coreProperties>
</file>