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B52" w:rsidRPr="008B6BC8" w:rsidRDefault="00D73B52" w:rsidP="00734D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71291" w:rsidRPr="00471291" w:rsidRDefault="00471291" w:rsidP="00471291">
      <w:pPr>
        <w:pStyle w:val="Style2"/>
        <w:widowControl/>
        <w:ind w:firstLine="720"/>
        <w:jc w:val="center"/>
        <w:rPr>
          <w:rStyle w:val="FontStyle11"/>
          <w:rFonts w:eastAsiaTheme="minorHAnsi"/>
          <w:sz w:val="28"/>
          <w:szCs w:val="28"/>
          <w:u w:val="single"/>
          <w:lang w:eastAsia="en-US"/>
        </w:rPr>
      </w:pPr>
      <w:r w:rsidRPr="00471291">
        <w:rPr>
          <w:rStyle w:val="FontStyle11"/>
          <w:rFonts w:eastAsiaTheme="minorHAnsi"/>
          <w:sz w:val="28"/>
          <w:szCs w:val="28"/>
          <w:u w:val="single"/>
          <w:lang w:eastAsia="en-US"/>
        </w:rPr>
        <w:t>DUYURU: 21.03.2019/17</w:t>
      </w:r>
    </w:p>
    <w:p w:rsidR="00471291" w:rsidRDefault="00471291" w:rsidP="00471291">
      <w:pPr>
        <w:jc w:val="both"/>
        <w:rPr>
          <w:sz w:val="24"/>
          <w:szCs w:val="24"/>
          <w:lang w:eastAsia="tr-TR"/>
        </w:rPr>
      </w:pPr>
    </w:p>
    <w:p w:rsidR="00471291" w:rsidRDefault="00471291" w:rsidP="00471291">
      <w:pPr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>21 Mart 2019 tarihli ve 30721 sayılı Resmi Gazete ‘de "Bazı Bakanlar Kurulu Kararları ile Cumhurbaşkanı Kararlarında Değişiklik Yapılmasına İlişkin Karar (Karar Sayısı: 843)" yayımlandı. Karar ile indirimli KDV, ÖTV ve tapu harcı uygulamasına ilişkin süreler uzatılmıştır.</w:t>
      </w:r>
    </w:p>
    <w:p w:rsidR="00471291" w:rsidRDefault="00471291" w:rsidP="00471291">
      <w:pPr>
        <w:jc w:val="both"/>
        <w:rPr>
          <w:rFonts w:ascii="Times New Roman" w:hAnsi="Times New Roman" w:cs="Times New Roman"/>
          <w:sz w:val="24"/>
          <w:szCs w:val="24"/>
          <w:lang w:eastAsia="tr-TR"/>
        </w:rPr>
      </w:pPr>
    </w:p>
    <w:p w:rsidR="00471291" w:rsidRDefault="00471291" w:rsidP="00471291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tr-TR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eastAsia="tr-TR"/>
        </w:rPr>
        <w:t xml:space="preserve">1-İndirimli tapu harcı uygulamasına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  <w:lang w:eastAsia="tr-TR"/>
        </w:rPr>
        <w:t>31/12/2019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  <w:lang w:eastAsia="tr-TR"/>
        </w:rPr>
        <w:t xml:space="preserve"> tarihine kadar devam edilecektir.</w:t>
      </w:r>
    </w:p>
    <w:p w:rsidR="00471291" w:rsidRDefault="00471291" w:rsidP="00471291">
      <w:pPr>
        <w:spacing w:before="240" w:after="0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>Bu Kararın 1 inci maddesiyle, 2018/11674 sayılı Bakanlar Kurulu Kararı’nın eki Kararın 5 inci maddesinde yer alan “</w:t>
      </w:r>
      <w:proofErr w:type="gramStart"/>
      <w:r>
        <w:rPr>
          <w:rFonts w:ascii="Times New Roman" w:hAnsi="Times New Roman" w:cs="Times New Roman"/>
          <w:sz w:val="24"/>
          <w:szCs w:val="24"/>
          <w:lang w:eastAsia="tr-TR"/>
        </w:rPr>
        <w:t>31/3/2019</w:t>
      </w:r>
      <w:proofErr w:type="gram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” ibaresi “31/12/2019” şeklinde değiştirilmiştir. Böylelikle, konut ve işyeri satışlarında indirimli “binde 15” oranında indirimli tapu harcı uygulamasına </w:t>
      </w:r>
      <w:proofErr w:type="gramStart"/>
      <w:r>
        <w:rPr>
          <w:rFonts w:ascii="Times New Roman" w:hAnsi="Times New Roman" w:cs="Times New Roman"/>
          <w:sz w:val="24"/>
          <w:szCs w:val="24"/>
          <w:lang w:eastAsia="tr-TR"/>
        </w:rPr>
        <w:t>31/12/2019</w:t>
      </w:r>
      <w:proofErr w:type="gram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tarihine kadar devam edilecektir.</w:t>
      </w:r>
    </w:p>
    <w:p w:rsidR="00471291" w:rsidRDefault="00471291" w:rsidP="00471291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</w:p>
    <w:p w:rsidR="00471291" w:rsidRDefault="00471291" w:rsidP="00471291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tr-TR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eastAsia="tr-TR"/>
        </w:rPr>
        <w:t xml:space="preserve">2-Bazı konut ve işyerlerinin tesliminde indirimli (%8) KDV oranı uygulamasına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  <w:lang w:eastAsia="tr-TR"/>
        </w:rPr>
        <w:t>31/12/2019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  <w:lang w:eastAsia="tr-TR"/>
        </w:rPr>
        <w:t xml:space="preserve"> tarihine kadar devam edilecektir.</w:t>
      </w:r>
    </w:p>
    <w:p w:rsidR="00471291" w:rsidRDefault="00471291" w:rsidP="00471291">
      <w:pPr>
        <w:spacing w:before="240" w:after="0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 xml:space="preserve">Bu Kararın 2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nci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maddesiyle, 2007/13033 Sayılı Karar’ın geçici 3 üncü maddesinde yer alan “</w:t>
      </w:r>
      <w:proofErr w:type="gramStart"/>
      <w:r>
        <w:rPr>
          <w:rFonts w:ascii="Times New Roman" w:hAnsi="Times New Roman" w:cs="Times New Roman"/>
          <w:sz w:val="24"/>
          <w:szCs w:val="24"/>
          <w:lang w:eastAsia="tr-TR"/>
        </w:rPr>
        <w:t>31/3/2019</w:t>
      </w:r>
      <w:proofErr w:type="gram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” ibaresi “31/12/2019” şeklinde değiştirilmiştir. Böylelikle, yüzde 18 KDV oranına tabi konutlar ve işyerlerinin (bina ve/veya bağımsız bölüm şeklinde olanlar) tesliminde indirimli %8 KDV oranı uygulamasına </w:t>
      </w:r>
      <w:proofErr w:type="gramStart"/>
      <w:r>
        <w:rPr>
          <w:rFonts w:ascii="Times New Roman" w:hAnsi="Times New Roman" w:cs="Times New Roman"/>
          <w:sz w:val="24"/>
          <w:szCs w:val="24"/>
          <w:lang w:eastAsia="tr-TR"/>
        </w:rPr>
        <w:t>31/12/2019</w:t>
      </w:r>
      <w:proofErr w:type="gram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tarihine kadar devam edilecektir. </w:t>
      </w:r>
    </w:p>
    <w:p w:rsidR="00471291" w:rsidRDefault="00471291" w:rsidP="00471291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</w:p>
    <w:p w:rsidR="00471291" w:rsidRDefault="00471291" w:rsidP="00471291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tr-TR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eastAsia="tr-TR"/>
        </w:rPr>
        <w:t xml:space="preserve">3-Bazı Mobilyaların tesliminde indirimli (%8) KDV oranı uygulamasına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  <w:lang w:eastAsia="tr-TR"/>
        </w:rPr>
        <w:t>30/06/2019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  <w:lang w:eastAsia="tr-TR"/>
        </w:rPr>
        <w:t xml:space="preserve"> tarihine kadar devam edilecektir.</w:t>
      </w:r>
    </w:p>
    <w:p w:rsidR="00471291" w:rsidRDefault="00471291" w:rsidP="00471291">
      <w:pPr>
        <w:spacing w:before="240" w:after="0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>Bu Kararın 3 üncü maddesiyle, 287 Sayılı Cumhurbaşkanı Kararı’nın eki Kararın 3 üncü maddesinde yer alan “</w:t>
      </w:r>
      <w:proofErr w:type="gramStart"/>
      <w:r>
        <w:rPr>
          <w:rFonts w:ascii="Times New Roman" w:hAnsi="Times New Roman" w:cs="Times New Roman"/>
          <w:sz w:val="24"/>
          <w:szCs w:val="24"/>
          <w:lang w:eastAsia="tr-TR"/>
        </w:rPr>
        <w:t>31/3/2019</w:t>
      </w:r>
      <w:proofErr w:type="gram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” ibaresi “30/06/2019” şeklinde değiştirilmiştir. Böylelikle, cetvelde yer alan malların tesliminde KDV oranı 30.06.2019 tarihine kadar geçerli olmak üzere %8 olarak uygulanmaya devam edilecektir. Diğer taraftan, 287 Sayılı Karar’da yer alan “Mükelleflerin, indirimli orana tabi işlemlerine ait iade hesabına, bu madde kapsamında teslim ettikleri mallar nedeniyle yüklendikleri vergiler </w:t>
      </w:r>
      <w:proofErr w:type="gramStart"/>
      <w:r>
        <w:rPr>
          <w:rFonts w:ascii="Times New Roman" w:hAnsi="Times New Roman" w:cs="Times New Roman"/>
          <w:sz w:val="24"/>
          <w:szCs w:val="24"/>
          <w:lang w:eastAsia="tr-TR"/>
        </w:rPr>
        <w:t>dahil</w:t>
      </w:r>
      <w:proofErr w:type="gram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edilmez.” hükmün uygulanmasına da devam edilecektir. Buna göre, bu Karar uyarınca %8 KDV oranıyla teslim edilecek mallar nedeniyle KDV iadesi talep edilemeyecektir.</w:t>
      </w:r>
    </w:p>
    <w:p w:rsidR="00471291" w:rsidRDefault="00471291" w:rsidP="00471291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</w:p>
    <w:p w:rsidR="00471291" w:rsidRPr="00471291" w:rsidRDefault="00471291" w:rsidP="00471291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tr-TR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eastAsia="tr-TR"/>
        </w:rPr>
        <w:t xml:space="preserve">4-Bazı motorlu taşıtların tesliminde indirimli (%1) KDV oranı uygulamasına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  <w:lang w:eastAsia="tr-TR"/>
        </w:rPr>
        <w:t>30/06/2019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  <w:lang w:eastAsia="tr-TR"/>
        </w:rPr>
        <w:t xml:space="preserve"> tarihine kadar devam edilecektir.</w:t>
      </w:r>
    </w:p>
    <w:p w:rsidR="00471291" w:rsidRDefault="00471291" w:rsidP="00471291">
      <w:pPr>
        <w:spacing w:before="240" w:after="0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>Bu Kararın 3 üncü maddesiyle, 287 Sayılı Cumhurbaşkanı Kararı’nın eki Kararın 4 üncü maddesinde yer alan “</w:t>
      </w:r>
      <w:proofErr w:type="gramStart"/>
      <w:r>
        <w:rPr>
          <w:rFonts w:ascii="Times New Roman" w:hAnsi="Times New Roman" w:cs="Times New Roman"/>
          <w:sz w:val="24"/>
          <w:szCs w:val="24"/>
          <w:lang w:eastAsia="tr-TR"/>
        </w:rPr>
        <w:t>31/3/2019</w:t>
      </w:r>
      <w:proofErr w:type="gram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” ibaresi “30/06/2019” şeklinde değiştirilmiştir. Böylelikle, Türk Gümrük Tarife Cetvelinin; </w:t>
      </w:r>
      <w:proofErr w:type="gramStart"/>
      <w:r>
        <w:rPr>
          <w:rFonts w:ascii="Times New Roman" w:hAnsi="Times New Roman" w:cs="Times New Roman"/>
          <w:sz w:val="24"/>
          <w:szCs w:val="24"/>
          <w:lang w:eastAsia="tr-TR"/>
        </w:rPr>
        <w:t>8701.20</w:t>
      </w:r>
      <w:proofErr w:type="gram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, 87.02, 87.04, 87.05 gümrük tarife istatistik pozisyon numaralarında yer alan malların tesliminde KDV oranı 30.06.2019 tarihine kadar geçerli olmak üzere %1 olarak uygulanmaya devam edilecektir. Diğer taraftan, 287 Sayılı </w:t>
      </w:r>
      <w:r>
        <w:rPr>
          <w:rFonts w:ascii="Times New Roman" w:hAnsi="Times New Roman" w:cs="Times New Roman"/>
          <w:sz w:val="24"/>
          <w:szCs w:val="24"/>
          <w:lang w:eastAsia="tr-TR"/>
        </w:rPr>
        <w:lastRenderedPageBreak/>
        <w:t xml:space="preserve">Karar’da “Mükelleflerin, indirimli orana tabi işlemlerine ait iade hesabına, bu madde kapsamında teslim ettikleri mallar nedeniyle yüklendikleri vergiler </w:t>
      </w:r>
      <w:proofErr w:type="gramStart"/>
      <w:r>
        <w:rPr>
          <w:rFonts w:ascii="Times New Roman" w:hAnsi="Times New Roman" w:cs="Times New Roman"/>
          <w:sz w:val="24"/>
          <w:szCs w:val="24"/>
          <w:lang w:eastAsia="tr-TR"/>
        </w:rPr>
        <w:t>dahil</w:t>
      </w:r>
      <w:proofErr w:type="gram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edilmez.” hükmün uygulanmasına da devam edilecektir. Buna göre, bu Karar uyarınca %1 KDV oranıyla teslim edilecek mallar nedeniyle KDV iadesi talep edilemeyecektir.</w:t>
      </w:r>
    </w:p>
    <w:p w:rsidR="00471291" w:rsidRDefault="00471291" w:rsidP="00471291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</w:p>
    <w:p w:rsidR="00471291" w:rsidRPr="00471291" w:rsidRDefault="00471291" w:rsidP="00471291">
      <w:pPr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eastAsia="tr-TR"/>
        </w:rPr>
        <w:t xml:space="preserve">5-Bazı binek otomobillerde indirimli ÖTV oranı uygulamasına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  <w:lang w:eastAsia="tr-TR"/>
        </w:rPr>
        <w:t>30/06/2019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  <w:lang w:eastAsia="tr-TR"/>
        </w:rPr>
        <w:t xml:space="preserve"> tarihine kadar devam edilecektir.</w:t>
      </w:r>
    </w:p>
    <w:p w:rsidR="00471291" w:rsidRDefault="00471291" w:rsidP="00471291">
      <w:pPr>
        <w:spacing w:before="240" w:after="0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>Bu Kararın 3 üncü maddesiyle, 287 Sayılı Cumhurbaşkanı Kararı’nın eki Kararın 5 inci maddesinde yer alan “</w:t>
      </w:r>
      <w:proofErr w:type="gramStart"/>
      <w:r>
        <w:rPr>
          <w:rFonts w:ascii="Times New Roman" w:hAnsi="Times New Roman" w:cs="Times New Roman"/>
          <w:sz w:val="24"/>
          <w:szCs w:val="24"/>
          <w:lang w:eastAsia="tr-TR"/>
        </w:rPr>
        <w:t>31/3/2019</w:t>
      </w:r>
      <w:proofErr w:type="gram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” ibaresi “30/06/2019” şeklinde değiştirilmiştir. Böylelikle, ÖTV Kanununa ekli (II) sayılı listede yer alan ve aşağıdaki cetvelde gösterilen mallarda indirimli ÖTV oranı uygulamasına </w:t>
      </w:r>
      <w:proofErr w:type="gramStart"/>
      <w:r>
        <w:rPr>
          <w:rFonts w:ascii="Times New Roman" w:hAnsi="Times New Roman" w:cs="Times New Roman"/>
          <w:sz w:val="24"/>
          <w:szCs w:val="24"/>
          <w:lang w:eastAsia="tr-TR"/>
        </w:rPr>
        <w:t>30/06/2019</w:t>
      </w:r>
      <w:proofErr w:type="gram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tarihine kadar devam edilecektir.</w:t>
      </w:r>
    </w:p>
    <w:p w:rsidR="00471291" w:rsidRPr="00471291" w:rsidRDefault="00471291" w:rsidP="0047129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471291" w:rsidRDefault="00471291" w:rsidP="00471291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bCs/>
          <w:u w:val="single"/>
        </w:rPr>
      </w:pPr>
      <w:r>
        <w:rPr>
          <w:rStyle w:val="Gl"/>
          <w:u w:val="single"/>
        </w:rPr>
        <w:t xml:space="preserve">6-Bazı elektrikli ev aletlerinde ÖTV oranının %0 (sıfır) olarak uygulanmasına </w:t>
      </w:r>
      <w:proofErr w:type="gramStart"/>
      <w:r>
        <w:rPr>
          <w:rStyle w:val="Gl"/>
          <w:u w:val="single"/>
        </w:rPr>
        <w:t>30/06/2019</w:t>
      </w:r>
      <w:proofErr w:type="gramEnd"/>
      <w:r>
        <w:rPr>
          <w:rStyle w:val="Gl"/>
          <w:u w:val="single"/>
        </w:rPr>
        <w:t xml:space="preserve"> tarihine kadar devam edilecektir.</w:t>
      </w:r>
    </w:p>
    <w:p w:rsidR="00471291" w:rsidRDefault="00471291" w:rsidP="00471291">
      <w:pPr>
        <w:pStyle w:val="NormalWeb"/>
        <w:shd w:val="clear" w:color="auto" w:fill="FFFFFF"/>
        <w:spacing w:before="240" w:beforeAutospacing="0" w:after="0" w:afterAutospacing="0"/>
        <w:jc w:val="both"/>
      </w:pPr>
      <w:r>
        <w:rPr>
          <w:color w:val="000000"/>
        </w:rPr>
        <w:t>Bu Kararın 3 üncü maddesiyle, </w:t>
      </w:r>
      <w:r>
        <w:rPr>
          <w:rStyle w:val="Gl"/>
          <w:b w:val="0"/>
        </w:rPr>
        <w:t>287 Sayılı Cumhurbaşkanı Kararı</w:t>
      </w:r>
      <w:r>
        <w:rPr>
          <w:color w:val="000000"/>
        </w:rPr>
        <w:t xml:space="preserve">’nın eki Kararın 6 </w:t>
      </w:r>
      <w:proofErr w:type="spellStart"/>
      <w:r>
        <w:rPr>
          <w:color w:val="000000"/>
        </w:rPr>
        <w:t>ncı</w:t>
      </w:r>
      <w:proofErr w:type="spellEnd"/>
      <w:r>
        <w:rPr>
          <w:color w:val="000000"/>
        </w:rPr>
        <w:t xml:space="preserve"> maddesinde yer alan “</w:t>
      </w:r>
      <w:proofErr w:type="gramStart"/>
      <w:r>
        <w:rPr>
          <w:color w:val="000000"/>
        </w:rPr>
        <w:t>31/3/2019</w:t>
      </w:r>
      <w:proofErr w:type="gramEnd"/>
      <w:r>
        <w:rPr>
          <w:color w:val="000000"/>
        </w:rPr>
        <w:t>” ibaresi “30/06/2019” şeklinde değiştirilmiştir.</w:t>
      </w:r>
      <w:r>
        <w:t xml:space="preserve"> Böylelikle, ÖTV Kanununa ekli (IV) sayılı listede yer alan ve aşağıdaki cetvelde gösterilen mallardaki ÖTV oranlarının %0 (sıfır) olarak uygulanmasına </w:t>
      </w:r>
      <w:proofErr w:type="gramStart"/>
      <w:r>
        <w:t>30/06/2019</w:t>
      </w:r>
      <w:proofErr w:type="gramEnd"/>
      <w:r>
        <w:t xml:space="preserve"> tarihine kadar devam edilecektir.</w:t>
      </w:r>
    </w:p>
    <w:p w:rsidR="00471291" w:rsidRDefault="00471291" w:rsidP="00471291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471291" w:rsidRDefault="00471291" w:rsidP="00471291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Gl"/>
          <w:b w:val="0"/>
          <w:bCs w:val="0"/>
        </w:rPr>
      </w:pPr>
      <w:r>
        <w:rPr>
          <w:rStyle w:val="Gl"/>
          <w:u w:val="single"/>
        </w:rPr>
        <w:t xml:space="preserve">7-Bazı motosikletlerin ÖTV oranının %0 (sıfır) olarak uygulanmasına </w:t>
      </w:r>
      <w:proofErr w:type="gramStart"/>
      <w:r>
        <w:rPr>
          <w:rStyle w:val="Gl"/>
          <w:u w:val="single"/>
        </w:rPr>
        <w:t>30/06/2019</w:t>
      </w:r>
      <w:proofErr w:type="gramEnd"/>
      <w:r>
        <w:rPr>
          <w:rStyle w:val="Gl"/>
          <w:u w:val="single"/>
        </w:rPr>
        <w:t xml:space="preserve"> tarihine kadar devam edilecektir.</w:t>
      </w:r>
    </w:p>
    <w:p w:rsidR="00471291" w:rsidRDefault="00471291" w:rsidP="00471291">
      <w:pPr>
        <w:pStyle w:val="NormalWeb"/>
        <w:shd w:val="clear" w:color="auto" w:fill="FFFFFF"/>
        <w:spacing w:before="240" w:beforeAutospacing="0" w:after="150" w:afterAutospacing="0"/>
        <w:jc w:val="both"/>
      </w:pPr>
      <w:r>
        <w:rPr>
          <w:color w:val="000000"/>
        </w:rPr>
        <w:t>Bu Kararın 4 üncü maddesiyle, </w:t>
      </w:r>
      <w:r>
        <w:rPr>
          <w:rStyle w:val="Gl"/>
          <w:b w:val="0"/>
        </w:rPr>
        <w:t>540 Sa</w:t>
      </w:r>
      <w:bookmarkStart w:id="0" w:name="_GoBack"/>
      <w:bookmarkEnd w:id="0"/>
      <w:r>
        <w:rPr>
          <w:rStyle w:val="Gl"/>
          <w:b w:val="0"/>
        </w:rPr>
        <w:t>yılı Cumhurbaşkanı Kararı</w:t>
      </w:r>
      <w:r>
        <w:t xml:space="preserve">’nın </w:t>
      </w:r>
      <w:r>
        <w:rPr>
          <w:color w:val="000000"/>
        </w:rPr>
        <w:t>eki Kararın 2 inci maddesinde yer alan “</w:t>
      </w:r>
      <w:proofErr w:type="gramStart"/>
      <w:r>
        <w:rPr>
          <w:color w:val="000000"/>
        </w:rPr>
        <w:t>31/3/2019</w:t>
      </w:r>
      <w:proofErr w:type="gramEnd"/>
      <w:r>
        <w:rPr>
          <w:color w:val="000000"/>
        </w:rPr>
        <w:t>” ibaresi “30/06/2019” şeklinde değiştirilmiştir.</w:t>
      </w:r>
      <w:r>
        <w:t xml:space="preserve"> Böylelikle, ÖTV Kanununa ekli (II) sayılı listede yer alan ve aşağıdaki cetvelde gösterilen mallardaki ÖTV oranlarının %0 (sıfır) olarak uygulanmasına </w:t>
      </w:r>
      <w:proofErr w:type="gramStart"/>
      <w:r>
        <w:t>30/06/2019</w:t>
      </w:r>
      <w:proofErr w:type="gramEnd"/>
      <w:r>
        <w:t xml:space="preserve"> tarihine kadar devam edilecektir.</w:t>
      </w:r>
    </w:p>
    <w:p w:rsidR="00E74835" w:rsidRPr="00E74835" w:rsidRDefault="00E74835" w:rsidP="00E74835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734D59" w:rsidRDefault="00734D59" w:rsidP="00734D59">
      <w:pPr>
        <w:jc w:val="both"/>
        <w:rPr>
          <w:rFonts w:ascii="Times New Roman" w:hAnsi="Times New Roman" w:cs="Times New Roman"/>
          <w:sz w:val="24"/>
          <w:szCs w:val="24"/>
          <w:lang w:eastAsia="tr-TR"/>
        </w:rPr>
      </w:pPr>
    </w:p>
    <w:p w:rsidR="00734D59" w:rsidRDefault="00734D59" w:rsidP="00734D59">
      <w:pPr>
        <w:jc w:val="both"/>
        <w:rPr>
          <w:rFonts w:ascii="Times New Roman" w:hAnsi="Times New Roman" w:cs="Times New Roman"/>
          <w:sz w:val="24"/>
          <w:szCs w:val="24"/>
          <w:lang w:eastAsia="tr-TR"/>
        </w:rPr>
      </w:pPr>
    </w:p>
    <w:p w:rsidR="00D73B52" w:rsidRPr="008B6BC8" w:rsidRDefault="00D73B52" w:rsidP="00734D59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 w:rsidRPr="008B6BC8">
        <w:rPr>
          <w:rFonts w:ascii="Times New Roman" w:hAnsi="Times New Roman" w:cs="Times New Roman"/>
          <w:sz w:val="24"/>
          <w:szCs w:val="24"/>
          <w:lang w:eastAsia="tr-TR"/>
        </w:rPr>
        <w:t>Saygılarımızla.</w:t>
      </w:r>
    </w:p>
    <w:p w:rsidR="00D73B52" w:rsidRPr="008B6BC8" w:rsidRDefault="00D73B52" w:rsidP="00734D59">
      <w:pPr>
        <w:pStyle w:val="Style3"/>
        <w:widowControl/>
        <w:spacing w:line="240" w:lineRule="auto"/>
        <w:ind w:firstLine="708"/>
        <w:rPr>
          <w:rStyle w:val="FontStyle14"/>
          <w:b/>
          <w:color w:val="auto"/>
          <w:sz w:val="24"/>
          <w:szCs w:val="24"/>
        </w:rPr>
      </w:pPr>
    </w:p>
    <w:p w:rsidR="00D73B52" w:rsidRPr="008B6BC8" w:rsidRDefault="00D73B52" w:rsidP="00734D59">
      <w:pPr>
        <w:pStyle w:val="Style3"/>
        <w:widowControl/>
        <w:spacing w:line="240" w:lineRule="auto"/>
        <w:ind w:firstLine="708"/>
        <w:rPr>
          <w:i/>
        </w:rPr>
      </w:pPr>
      <w:r w:rsidRPr="008B6BC8">
        <w:rPr>
          <w:rStyle w:val="FontStyle14"/>
          <w:b/>
          <w:color w:val="auto"/>
          <w:sz w:val="24"/>
          <w:szCs w:val="24"/>
        </w:rPr>
        <w:t>LINEAR DENETİM VE YEMİNLİ MALİ MÜŞAVİRLİK LTD. ŞTİ.</w:t>
      </w:r>
    </w:p>
    <w:p w:rsidR="00E375AF" w:rsidRPr="008B6BC8" w:rsidRDefault="00E375AF" w:rsidP="00734D59">
      <w:pPr>
        <w:pStyle w:val="NormalWeb"/>
        <w:shd w:val="clear" w:color="auto" w:fill="FFFFFF"/>
        <w:spacing w:before="0" w:beforeAutospacing="0" w:after="150" w:afterAutospacing="0"/>
        <w:jc w:val="both"/>
      </w:pPr>
    </w:p>
    <w:p w:rsidR="00E375AF" w:rsidRPr="008B6BC8" w:rsidRDefault="00E375AF" w:rsidP="00734D59">
      <w:pPr>
        <w:pStyle w:val="NormalWeb"/>
        <w:shd w:val="clear" w:color="auto" w:fill="FFFFFF"/>
        <w:spacing w:before="0" w:beforeAutospacing="0" w:after="150" w:afterAutospacing="0"/>
        <w:jc w:val="both"/>
      </w:pPr>
    </w:p>
    <w:sectPr w:rsidR="00E375AF" w:rsidRPr="008B6BC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C47" w:rsidRDefault="00427C47" w:rsidP="00D73B52">
      <w:pPr>
        <w:spacing w:after="0" w:line="240" w:lineRule="auto"/>
      </w:pPr>
      <w:r>
        <w:separator/>
      </w:r>
    </w:p>
  </w:endnote>
  <w:endnote w:type="continuationSeparator" w:id="0">
    <w:p w:rsidR="00427C47" w:rsidRDefault="00427C47" w:rsidP="00D73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C47" w:rsidRDefault="00427C47" w:rsidP="00D73B52">
      <w:pPr>
        <w:spacing w:after="0" w:line="240" w:lineRule="auto"/>
      </w:pPr>
      <w:r>
        <w:separator/>
      </w:r>
    </w:p>
  </w:footnote>
  <w:footnote w:type="continuationSeparator" w:id="0">
    <w:p w:rsidR="00427C47" w:rsidRDefault="00427C47" w:rsidP="00D73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B52" w:rsidRDefault="00D73B52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 wp14:anchorId="36F58A0C" wp14:editId="04BDBA91">
          <wp:simplePos x="0" y="0"/>
          <wp:positionH relativeFrom="column">
            <wp:posOffset>-1023620</wp:posOffset>
          </wp:positionH>
          <wp:positionV relativeFrom="paragraph">
            <wp:posOffset>-449580</wp:posOffset>
          </wp:positionV>
          <wp:extent cx="7562850" cy="1370965"/>
          <wp:effectExtent l="0" t="0" r="0" b="635"/>
          <wp:wrapTopAndBottom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370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B41EB"/>
    <w:multiLevelType w:val="hybridMultilevel"/>
    <w:tmpl w:val="8EAE247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277AF0"/>
    <w:multiLevelType w:val="hybridMultilevel"/>
    <w:tmpl w:val="B4D2554A"/>
    <w:lvl w:ilvl="0" w:tplc="7FDA56A2">
      <w:start w:val="1"/>
      <w:numFmt w:val="upperLetter"/>
      <w:lvlText w:val="%1)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2296B"/>
    <w:multiLevelType w:val="multilevel"/>
    <w:tmpl w:val="70E20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C3178A8"/>
    <w:multiLevelType w:val="multilevel"/>
    <w:tmpl w:val="19B6C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01294B"/>
    <w:multiLevelType w:val="multilevel"/>
    <w:tmpl w:val="B142E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5EF29B7"/>
    <w:multiLevelType w:val="hybridMultilevel"/>
    <w:tmpl w:val="F3D034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860A7A"/>
    <w:multiLevelType w:val="hybridMultilevel"/>
    <w:tmpl w:val="77BE3062"/>
    <w:lvl w:ilvl="0" w:tplc="F1EEF85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00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4B1093"/>
    <w:multiLevelType w:val="multilevel"/>
    <w:tmpl w:val="208A9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F17B66"/>
    <w:multiLevelType w:val="hybridMultilevel"/>
    <w:tmpl w:val="D1A8D1A0"/>
    <w:lvl w:ilvl="0" w:tplc="93802924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55767D"/>
    <w:multiLevelType w:val="hybridMultilevel"/>
    <w:tmpl w:val="D08626E8"/>
    <w:lvl w:ilvl="0" w:tplc="7D7C98F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BA132B"/>
    <w:multiLevelType w:val="multilevel"/>
    <w:tmpl w:val="2E7C9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346CD5"/>
    <w:multiLevelType w:val="hybridMultilevel"/>
    <w:tmpl w:val="190C23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8436F7"/>
    <w:multiLevelType w:val="hybridMultilevel"/>
    <w:tmpl w:val="1CFAE7C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40232B"/>
    <w:multiLevelType w:val="hybridMultilevel"/>
    <w:tmpl w:val="0D7EDF34"/>
    <w:lvl w:ilvl="0" w:tplc="D6C4D80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CB4947"/>
    <w:multiLevelType w:val="hybridMultilevel"/>
    <w:tmpl w:val="0E5E73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406806"/>
    <w:multiLevelType w:val="hybridMultilevel"/>
    <w:tmpl w:val="9E54666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7A24F8"/>
    <w:multiLevelType w:val="hybridMultilevel"/>
    <w:tmpl w:val="0FBE637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875319"/>
    <w:multiLevelType w:val="multilevel"/>
    <w:tmpl w:val="50CE6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0"/>
  </w:num>
  <w:num w:numId="3">
    <w:abstractNumId w:val="9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0"/>
  </w:num>
  <w:num w:numId="7">
    <w:abstractNumId w:val="7"/>
  </w:num>
  <w:num w:numId="8">
    <w:abstractNumId w:val="8"/>
  </w:num>
  <w:num w:numId="9">
    <w:abstractNumId w:val="3"/>
  </w:num>
  <w:num w:numId="10">
    <w:abstractNumId w:val="1"/>
  </w:num>
  <w:num w:numId="11">
    <w:abstractNumId w:val="11"/>
  </w:num>
  <w:num w:numId="12">
    <w:abstractNumId w:val="14"/>
  </w:num>
  <w:num w:numId="13">
    <w:abstractNumId w:val="17"/>
  </w:num>
  <w:num w:numId="14">
    <w:abstractNumId w:val="17"/>
  </w:num>
  <w:num w:numId="15">
    <w:abstractNumId w:val="12"/>
  </w:num>
  <w:num w:numId="16">
    <w:abstractNumId w:val="6"/>
  </w:num>
  <w:num w:numId="17">
    <w:abstractNumId w:val="13"/>
  </w:num>
  <w:num w:numId="18">
    <w:abstractNumId w:val="5"/>
  </w:num>
  <w:num w:numId="19">
    <w:abstractNumId w:val="1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1E4"/>
    <w:rsid w:val="00055539"/>
    <w:rsid w:val="000858E2"/>
    <w:rsid w:val="000A6004"/>
    <w:rsid w:val="000B3D19"/>
    <w:rsid w:val="000E6351"/>
    <w:rsid w:val="000F401F"/>
    <w:rsid w:val="00104AC2"/>
    <w:rsid w:val="00121393"/>
    <w:rsid w:val="00130DF1"/>
    <w:rsid w:val="001407BB"/>
    <w:rsid w:val="001B326A"/>
    <w:rsid w:val="001C5A82"/>
    <w:rsid w:val="001E624E"/>
    <w:rsid w:val="0021179C"/>
    <w:rsid w:val="00216AD7"/>
    <w:rsid w:val="0023275B"/>
    <w:rsid w:val="00245E06"/>
    <w:rsid w:val="00275286"/>
    <w:rsid w:val="002774E5"/>
    <w:rsid w:val="002907D2"/>
    <w:rsid w:val="00294573"/>
    <w:rsid w:val="002A10B0"/>
    <w:rsid w:val="002D76DA"/>
    <w:rsid w:val="002E041A"/>
    <w:rsid w:val="003221E7"/>
    <w:rsid w:val="003242FE"/>
    <w:rsid w:val="003C71E4"/>
    <w:rsid w:val="00427C47"/>
    <w:rsid w:val="0043264D"/>
    <w:rsid w:val="00471291"/>
    <w:rsid w:val="004A5ED9"/>
    <w:rsid w:val="004B4753"/>
    <w:rsid w:val="004E5274"/>
    <w:rsid w:val="00504914"/>
    <w:rsid w:val="00516B65"/>
    <w:rsid w:val="00545D69"/>
    <w:rsid w:val="005505E8"/>
    <w:rsid w:val="005A167D"/>
    <w:rsid w:val="005C5615"/>
    <w:rsid w:val="006349E7"/>
    <w:rsid w:val="00635C23"/>
    <w:rsid w:val="0068190A"/>
    <w:rsid w:val="006C19C0"/>
    <w:rsid w:val="006C60C4"/>
    <w:rsid w:val="006D6662"/>
    <w:rsid w:val="006F6242"/>
    <w:rsid w:val="00734D59"/>
    <w:rsid w:val="0079178F"/>
    <w:rsid w:val="007A034A"/>
    <w:rsid w:val="007A10A4"/>
    <w:rsid w:val="007B6A94"/>
    <w:rsid w:val="00807C9B"/>
    <w:rsid w:val="00870D07"/>
    <w:rsid w:val="00875C73"/>
    <w:rsid w:val="008B6BC8"/>
    <w:rsid w:val="008E7B5F"/>
    <w:rsid w:val="008F2114"/>
    <w:rsid w:val="00914252"/>
    <w:rsid w:val="00946DC3"/>
    <w:rsid w:val="0097290E"/>
    <w:rsid w:val="009D1A74"/>
    <w:rsid w:val="00A24B71"/>
    <w:rsid w:val="00A76197"/>
    <w:rsid w:val="00A852BC"/>
    <w:rsid w:val="00AB250E"/>
    <w:rsid w:val="00AC3729"/>
    <w:rsid w:val="00AD0C5A"/>
    <w:rsid w:val="00B269BC"/>
    <w:rsid w:val="00B62D8A"/>
    <w:rsid w:val="00B63E99"/>
    <w:rsid w:val="00BB76A9"/>
    <w:rsid w:val="00BC74D1"/>
    <w:rsid w:val="00BE08A0"/>
    <w:rsid w:val="00BE20BF"/>
    <w:rsid w:val="00C11148"/>
    <w:rsid w:val="00C358D2"/>
    <w:rsid w:val="00C35E11"/>
    <w:rsid w:val="00C52CFF"/>
    <w:rsid w:val="00C73484"/>
    <w:rsid w:val="00C8449C"/>
    <w:rsid w:val="00CA3A66"/>
    <w:rsid w:val="00D11FCA"/>
    <w:rsid w:val="00D13E4D"/>
    <w:rsid w:val="00D21CCB"/>
    <w:rsid w:val="00D3591D"/>
    <w:rsid w:val="00D451B4"/>
    <w:rsid w:val="00D73B52"/>
    <w:rsid w:val="00DE023A"/>
    <w:rsid w:val="00E131B3"/>
    <w:rsid w:val="00E375AF"/>
    <w:rsid w:val="00E74835"/>
    <w:rsid w:val="00E8497E"/>
    <w:rsid w:val="00EA4A6C"/>
    <w:rsid w:val="00EC486C"/>
    <w:rsid w:val="00ED154C"/>
    <w:rsid w:val="00F0529F"/>
    <w:rsid w:val="00F1060F"/>
    <w:rsid w:val="00F27A9F"/>
    <w:rsid w:val="00F578C8"/>
    <w:rsid w:val="00FB35FE"/>
    <w:rsid w:val="00FF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70D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link w:val="Balk2Char"/>
    <w:uiPriority w:val="9"/>
    <w:qFormat/>
    <w:rsid w:val="00E849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C7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2D76DA"/>
    <w:rPr>
      <w:i/>
      <w:iCs/>
    </w:rPr>
  </w:style>
  <w:style w:type="character" w:styleId="Gl">
    <w:name w:val="Strong"/>
    <w:basedOn w:val="VarsaylanParagrafYazTipi"/>
    <w:uiPriority w:val="22"/>
    <w:qFormat/>
    <w:rsid w:val="002D76DA"/>
    <w:rPr>
      <w:b/>
      <w:bCs/>
    </w:rPr>
  </w:style>
  <w:style w:type="character" w:styleId="Kpr">
    <w:name w:val="Hyperlink"/>
    <w:basedOn w:val="VarsaylanParagrafYazTipi"/>
    <w:uiPriority w:val="99"/>
    <w:unhideWhenUsed/>
    <w:rsid w:val="002D76DA"/>
    <w:rPr>
      <w:color w:val="0000FF"/>
      <w:u w:val="single"/>
    </w:rPr>
  </w:style>
  <w:style w:type="character" w:customStyle="1" w:styleId="FontStyle11">
    <w:name w:val="Font Style11"/>
    <w:basedOn w:val="VarsaylanParagrafYazTipi"/>
    <w:uiPriority w:val="99"/>
    <w:rsid w:val="00D73B52"/>
    <w:rPr>
      <w:rFonts w:ascii="Times New Roman" w:hAnsi="Times New Roman" w:cs="Times New Roman" w:hint="default"/>
      <w:b/>
      <w:bCs/>
      <w:smallCaps/>
      <w:color w:val="000000"/>
    </w:rPr>
  </w:style>
  <w:style w:type="paragraph" w:customStyle="1" w:styleId="Style3">
    <w:name w:val="Style3"/>
    <w:basedOn w:val="Normal"/>
    <w:uiPriority w:val="99"/>
    <w:rsid w:val="00D73B52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FontStyle14">
    <w:name w:val="Font Style14"/>
    <w:uiPriority w:val="99"/>
    <w:rsid w:val="00D73B52"/>
    <w:rPr>
      <w:rFonts w:ascii="Times New Roman" w:hAnsi="Times New Roman" w:cs="Times New Roman"/>
      <w:color w:val="000000"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D73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73B52"/>
  </w:style>
  <w:style w:type="paragraph" w:styleId="Altbilgi">
    <w:name w:val="footer"/>
    <w:basedOn w:val="Normal"/>
    <w:link w:val="AltbilgiChar"/>
    <w:uiPriority w:val="99"/>
    <w:unhideWhenUsed/>
    <w:rsid w:val="00D73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73B52"/>
  </w:style>
  <w:style w:type="paragraph" w:styleId="ListeParagraf">
    <w:name w:val="List Paragraph"/>
    <w:basedOn w:val="Normal"/>
    <w:uiPriority w:val="34"/>
    <w:qFormat/>
    <w:rsid w:val="00914252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E8497E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customStyle="1" w:styleId="Style2">
    <w:name w:val="Style2"/>
    <w:basedOn w:val="Normal"/>
    <w:uiPriority w:val="99"/>
    <w:rsid w:val="00516B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870D0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70D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link w:val="Balk2Char"/>
    <w:uiPriority w:val="9"/>
    <w:qFormat/>
    <w:rsid w:val="00E849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C7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2D76DA"/>
    <w:rPr>
      <w:i/>
      <w:iCs/>
    </w:rPr>
  </w:style>
  <w:style w:type="character" w:styleId="Gl">
    <w:name w:val="Strong"/>
    <w:basedOn w:val="VarsaylanParagrafYazTipi"/>
    <w:uiPriority w:val="22"/>
    <w:qFormat/>
    <w:rsid w:val="002D76DA"/>
    <w:rPr>
      <w:b/>
      <w:bCs/>
    </w:rPr>
  </w:style>
  <w:style w:type="character" w:styleId="Kpr">
    <w:name w:val="Hyperlink"/>
    <w:basedOn w:val="VarsaylanParagrafYazTipi"/>
    <w:uiPriority w:val="99"/>
    <w:unhideWhenUsed/>
    <w:rsid w:val="002D76DA"/>
    <w:rPr>
      <w:color w:val="0000FF"/>
      <w:u w:val="single"/>
    </w:rPr>
  </w:style>
  <w:style w:type="character" w:customStyle="1" w:styleId="FontStyle11">
    <w:name w:val="Font Style11"/>
    <w:basedOn w:val="VarsaylanParagrafYazTipi"/>
    <w:uiPriority w:val="99"/>
    <w:rsid w:val="00D73B52"/>
    <w:rPr>
      <w:rFonts w:ascii="Times New Roman" w:hAnsi="Times New Roman" w:cs="Times New Roman" w:hint="default"/>
      <w:b/>
      <w:bCs/>
      <w:smallCaps/>
      <w:color w:val="000000"/>
    </w:rPr>
  </w:style>
  <w:style w:type="paragraph" w:customStyle="1" w:styleId="Style3">
    <w:name w:val="Style3"/>
    <w:basedOn w:val="Normal"/>
    <w:uiPriority w:val="99"/>
    <w:rsid w:val="00D73B52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FontStyle14">
    <w:name w:val="Font Style14"/>
    <w:uiPriority w:val="99"/>
    <w:rsid w:val="00D73B52"/>
    <w:rPr>
      <w:rFonts w:ascii="Times New Roman" w:hAnsi="Times New Roman" w:cs="Times New Roman"/>
      <w:color w:val="000000"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D73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73B52"/>
  </w:style>
  <w:style w:type="paragraph" w:styleId="Altbilgi">
    <w:name w:val="footer"/>
    <w:basedOn w:val="Normal"/>
    <w:link w:val="AltbilgiChar"/>
    <w:uiPriority w:val="99"/>
    <w:unhideWhenUsed/>
    <w:rsid w:val="00D73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73B52"/>
  </w:style>
  <w:style w:type="paragraph" w:styleId="ListeParagraf">
    <w:name w:val="List Paragraph"/>
    <w:basedOn w:val="Normal"/>
    <w:uiPriority w:val="34"/>
    <w:qFormat/>
    <w:rsid w:val="00914252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E8497E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customStyle="1" w:styleId="Style2">
    <w:name w:val="Style2"/>
    <w:basedOn w:val="Normal"/>
    <w:uiPriority w:val="99"/>
    <w:rsid w:val="00516B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870D0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4327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ozkan</cp:lastModifiedBy>
  <cp:revision>61</cp:revision>
  <dcterms:created xsi:type="dcterms:W3CDTF">2018-11-07T15:13:00Z</dcterms:created>
  <dcterms:modified xsi:type="dcterms:W3CDTF">2019-03-21T08:29:00Z</dcterms:modified>
</cp:coreProperties>
</file>